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0A1C4" w14:textId="04F0A6AB" w:rsidR="00F65091" w:rsidRPr="00CF64B2" w:rsidRDefault="00CF64B2" w:rsidP="0082173A">
      <w:pPr>
        <w:spacing w:line="276" w:lineRule="auto"/>
        <w:jc w:val="both"/>
        <w:rPr>
          <w:rFonts w:eastAsia="Calibri" w:cstheme="minorHAnsi"/>
          <w:b/>
          <w:bCs/>
        </w:rPr>
      </w:pPr>
      <w:r>
        <w:rPr>
          <w:rFonts w:eastAsia="Calibri" w:cstheme="minorHAnsi"/>
          <w:b/>
          <w:bCs/>
        </w:rPr>
        <w:br/>
      </w:r>
      <w:r w:rsidR="00716C2D" w:rsidRPr="00CF64B2">
        <w:rPr>
          <w:rFonts w:eastAsia="Calibri" w:cstheme="minorHAnsi"/>
          <w:b/>
          <w:bCs/>
        </w:rPr>
        <w:t xml:space="preserve">Declaração da contadora </w:t>
      </w:r>
    </w:p>
    <w:p w14:paraId="7ACABF8E" w14:textId="77777777" w:rsidR="00F65091" w:rsidRPr="0082173A" w:rsidRDefault="00716C2D" w:rsidP="00CF64B2">
      <w:pPr>
        <w:spacing w:line="276" w:lineRule="auto"/>
        <w:rPr>
          <w:rFonts w:eastAsia="Calibri" w:cstheme="minorHAnsi"/>
        </w:rPr>
      </w:pPr>
      <w:r w:rsidRPr="0082173A">
        <w:rPr>
          <w:rFonts w:eastAsia="Calibri" w:cstheme="minorHAnsi"/>
        </w:rPr>
        <w:t xml:space="preserve">Esta declaração refere-se às demonstrações contábeis e suas respectivas notas explicativas de 31 de dezembro de 2022 do Tribunal Regional Eleitoral do Espírito Santo – TRE/ES. </w:t>
      </w:r>
      <w:r w:rsidRPr="0082173A">
        <w:rPr>
          <w:rFonts w:cstheme="minorHAnsi"/>
        </w:rPr>
        <w:br/>
      </w:r>
      <w:r w:rsidRPr="0082173A">
        <w:rPr>
          <w:rFonts w:cstheme="minorHAnsi"/>
        </w:rPr>
        <w:br/>
      </w:r>
      <w:r w:rsidRPr="0082173A">
        <w:rPr>
          <w:rFonts w:eastAsia="Calibri" w:cstheme="minorHAnsi"/>
        </w:rPr>
        <w:t xml:space="preserve">Ela reflete a conformidade contábil das demonstrações contábeis encerradas na referida data e está pautada na </w:t>
      </w:r>
      <w:proofErr w:type="spellStart"/>
      <w:r w:rsidRPr="0082173A">
        <w:rPr>
          <w:rFonts w:eastAsia="Calibri" w:cstheme="minorHAnsi"/>
        </w:rPr>
        <w:t>Macrofunção</w:t>
      </w:r>
      <w:proofErr w:type="spellEnd"/>
      <w:r w:rsidRPr="0082173A">
        <w:rPr>
          <w:rFonts w:eastAsia="Calibri" w:cstheme="minorHAnsi"/>
        </w:rPr>
        <w:t xml:space="preserve"> 020315 – Conformidade Contábil presente no Manual Siafi. </w:t>
      </w:r>
    </w:p>
    <w:p w14:paraId="4F23A565" w14:textId="77777777" w:rsidR="00F65091" w:rsidRPr="0082173A" w:rsidRDefault="00716C2D" w:rsidP="0082173A">
      <w:pPr>
        <w:spacing w:line="276" w:lineRule="auto"/>
        <w:jc w:val="both"/>
        <w:rPr>
          <w:rFonts w:eastAsia="Calibri" w:cstheme="minorHAnsi"/>
        </w:rPr>
      </w:pPr>
      <w:r w:rsidRPr="0082173A">
        <w:rPr>
          <w:rFonts w:eastAsia="Calibri" w:cstheme="minorHAnsi"/>
        </w:rPr>
        <w:t xml:space="preserve">As demonstrações contábeis – balanço patrimonial, demonstração das variações patrimoniais, demonstração de fluxo de caixa, balanço orçamentário, balanço financeiro e suas notas explicativas, encerradas em 31 de dezembro de 2022 – estão, em todos os aspectos relevantes, de acordo com a Lei nº 4.320/1964, o Manual de Contabilidade Aplicada ao Setor Público, o Manual Siafi e as demais normas aplicáveis. </w:t>
      </w:r>
    </w:p>
    <w:p w14:paraId="258CE271" w14:textId="77777777" w:rsidR="00F65091" w:rsidRPr="0082173A" w:rsidRDefault="00716C2D" w:rsidP="0082173A">
      <w:pPr>
        <w:spacing w:line="276" w:lineRule="auto"/>
        <w:jc w:val="both"/>
        <w:rPr>
          <w:rFonts w:eastAsia="Calibri" w:cstheme="minorHAnsi"/>
        </w:rPr>
      </w:pPr>
      <w:r w:rsidRPr="0082173A">
        <w:rPr>
          <w:rFonts w:eastAsia="Calibri" w:cstheme="minorHAnsi"/>
        </w:rPr>
        <w:t>Vitória/ES, 27de janeiro de 2023.</w:t>
      </w:r>
    </w:p>
    <w:p w14:paraId="28D7DF38" w14:textId="03525AE9" w:rsidR="00F65091" w:rsidRPr="0082173A" w:rsidRDefault="00716C2D" w:rsidP="0082173A">
      <w:pPr>
        <w:spacing w:line="276" w:lineRule="auto"/>
        <w:jc w:val="both"/>
        <w:rPr>
          <w:rFonts w:eastAsia="Calibri" w:cstheme="minorHAnsi"/>
        </w:rPr>
      </w:pPr>
      <w:r w:rsidRPr="0082173A">
        <w:rPr>
          <w:rFonts w:eastAsia="Calibri" w:cstheme="minorHAnsi"/>
        </w:rPr>
        <w:t xml:space="preserve">Josiani Zanotelli – CRC nº </w:t>
      </w:r>
      <w:r w:rsidR="00620328">
        <w:rPr>
          <w:rFonts w:eastAsia="Calibri" w:cstheme="minorHAnsi"/>
        </w:rPr>
        <w:t>008199/O-5</w:t>
      </w:r>
      <w:r w:rsidRPr="0082173A">
        <w:rPr>
          <w:rFonts w:eastAsia="Calibri" w:cstheme="minorHAnsi"/>
        </w:rPr>
        <w:t xml:space="preserve"> </w:t>
      </w:r>
    </w:p>
    <w:p w14:paraId="7C9B3CD5" w14:textId="77777777" w:rsidR="00F65091" w:rsidRPr="0082173A" w:rsidRDefault="00716C2D" w:rsidP="0082173A">
      <w:pPr>
        <w:spacing w:line="276" w:lineRule="auto"/>
        <w:jc w:val="both"/>
        <w:rPr>
          <w:rFonts w:eastAsia="Calibri" w:cstheme="minorHAnsi"/>
        </w:rPr>
      </w:pPr>
      <w:r w:rsidRPr="0082173A">
        <w:rPr>
          <w:rFonts w:eastAsia="Calibri" w:cstheme="minorHAnsi"/>
        </w:rPr>
        <w:t>Contadora responsável</w:t>
      </w:r>
    </w:p>
    <w:p w14:paraId="6677D39E" w14:textId="77777777" w:rsidR="00651863" w:rsidRPr="0082173A" w:rsidRDefault="00651863" w:rsidP="0082173A">
      <w:pPr>
        <w:spacing w:line="276" w:lineRule="auto"/>
        <w:rPr>
          <w:rFonts w:eastAsia="Calibri" w:cstheme="minorHAnsi"/>
        </w:rPr>
      </w:pPr>
    </w:p>
    <w:p w14:paraId="5BF7701E" w14:textId="21D43EBE" w:rsidR="00F65091" w:rsidRPr="0062535A" w:rsidRDefault="00716C2D" w:rsidP="0082173A">
      <w:pPr>
        <w:spacing w:line="276" w:lineRule="auto"/>
        <w:rPr>
          <w:rFonts w:eastAsia="Calibri" w:cstheme="minorHAnsi"/>
          <w:b/>
          <w:bCs/>
        </w:rPr>
      </w:pPr>
      <w:r w:rsidRPr="0062535A">
        <w:rPr>
          <w:rFonts w:eastAsia="Calibri" w:cstheme="minorHAnsi"/>
          <w:b/>
          <w:bCs/>
        </w:rPr>
        <w:t xml:space="preserve">Resumo dos Principais Critérios e Políticas Contábeis </w:t>
      </w:r>
    </w:p>
    <w:p w14:paraId="773DA3AA" w14:textId="2B3A31B9" w:rsidR="00F65091" w:rsidRPr="0082173A" w:rsidRDefault="00716C2D" w:rsidP="0082173A">
      <w:pPr>
        <w:spacing w:line="276" w:lineRule="auto"/>
        <w:jc w:val="both"/>
        <w:rPr>
          <w:rFonts w:eastAsia="Calibri" w:cstheme="minorHAnsi"/>
        </w:rPr>
      </w:pPr>
      <w:r w:rsidRPr="0082173A">
        <w:rPr>
          <w:rFonts w:eastAsia="Calibri" w:cstheme="minorHAnsi"/>
        </w:rPr>
        <w:t xml:space="preserve">A seguir, são apresentados os principais critérios e políticas contábeis adotados no âmbito do TRE/ES, tendo em consideração as opções e premissas do modelo de contabilidade aplicada ao setor público. </w:t>
      </w:r>
      <w:r w:rsidRPr="0082173A">
        <w:rPr>
          <w:rFonts w:cstheme="minorHAnsi"/>
        </w:rPr>
        <w:br/>
      </w:r>
    </w:p>
    <w:p w14:paraId="0CB792C5" w14:textId="300FBD53" w:rsidR="00F65091" w:rsidRPr="00C47E9C" w:rsidRDefault="00DA2006" w:rsidP="0082173A">
      <w:pPr>
        <w:pStyle w:val="PargrafodaLista"/>
        <w:numPr>
          <w:ilvl w:val="0"/>
          <w:numId w:val="1"/>
        </w:numPr>
        <w:spacing w:line="276" w:lineRule="auto"/>
        <w:rPr>
          <w:rFonts w:eastAsia="Calibri" w:cstheme="minorHAnsi"/>
          <w:b/>
          <w:bCs/>
        </w:rPr>
      </w:pPr>
      <w:r w:rsidRPr="00C47E9C">
        <w:rPr>
          <w:rFonts w:eastAsia="Calibri" w:cstheme="minorHAnsi"/>
          <w:b/>
          <w:bCs/>
        </w:rPr>
        <w:t>D</w:t>
      </w:r>
      <w:r w:rsidR="00716C2D" w:rsidRPr="00C47E9C">
        <w:rPr>
          <w:rFonts w:eastAsia="Calibri" w:cstheme="minorHAnsi"/>
          <w:b/>
          <w:bCs/>
        </w:rPr>
        <w:t xml:space="preserve">emonstrações contábeis </w:t>
      </w:r>
    </w:p>
    <w:p w14:paraId="798655EC" w14:textId="1974C96F" w:rsidR="00F65091" w:rsidRPr="0082173A" w:rsidRDefault="00716C2D" w:rsidP="0082173A">
      <w:pPr>
        <w:spacing w:line="276" w:lineRule="auto"/>
        <w:jc w:val="both"/>
        <w:rPr>
          <w:rFonts w:eastAsia="Calibri" w:cstheme="minorHAnsi"/>
        </w:rPr>
      </w:pPr>
      <w:r w:rsidRPr="0082173A">
        <w:rPr>
          <w:rFonts w:eastAsia="Calibri" w:cstheme="minorHAnsi"/>
        </w:rPr>
        <w:t>As Demonstrações Contábeis do TRE/ES compreendem o exercício fiscal de 2022 e são compostas pelo Balanço Patrimonial - BP, Demonstrações das Variações Patrimoniais - DVP, Balanço Orçamentário - BO, Balanço Financeiro - BF e Demonstrações de Fluxos de Caixa - DFC, extraídos do SIAFI, e Notas Explicativas</w:t>
      </w:r>
      <w:r w:rsidR="002D09D8" w:rsidRPr="0082173A">
        <w:rPr>
          <w:rFonts w:eastAsia="Calibri" w:cstheme="minorHAnsi"/>
        </w:rPr>
        <w:t xml:space="preserve"> das Demonstrações Contábeis</w:t>
      </w:r>
      <w:r w:rsidRPr="0082173A">
        <w:rPr>
          <w:rFonts w:eastAsia="Calibri" w:cstheme="minorHAnsi"/>
        </w:rPr>
        <w:t>.</w:t>
      </w:r>
    </w:p>
    <w:p w14:paraId="319B2E14" w14:textId="59189F6F" w:rsidR="00F65091" w:rsidRPr="0082173A" w:rsidRDefault="002017FF" w:rsidP="0082173A">
      <w:pPr>
        <w:spacing w:line="276" w:lineRule="auto"/>
        <w:jc w:val="both"/>
        <w:rPr>
          <w:rFonts w:eastAsia="Calibri" w:cstheme="minorHAnsi"/>
        </w:rPr>
      </w:pPr>
      <w:r w:rsidRPr="0082173A">
        <w:rPr>
          <w:rFonts w:eastAsia="Calibri" w:cstheme="minorHAnsi"/>
        </w:rPr>
        <w:t>A</w:t>
      </w:r>
      <w:r w:rsidR="00716C2D" w:rsidRPr="0082173A">
        <w:rPr>
          <w:rFonts w:eastAsia="Calibri" w:cstheme="minorHAnsi"/>
        </w:rPr>
        <w:t xml:space="preserve">s Notas Explicativas </w:t>
      </w:r>
      <w:r w:rsidRPr="0082173A">
        <w:rPr>
          <w:rFonts w:eastAsia="Calibri" w:cstheme="minorHAnsi"/>
        </w:rPr>
        <w:t>são</w:t>
      </w:r>
      <w:r w:rsidR="00716C2D" w:rsidRPr="0082173A">
        <w:rPr>
          <w:rFonts w:eastAsia="Calibri" w:cstheme="minorHAnsi"/>
        </w:rPr>
        <w:t xml:space="preserve"> formulada</w:t>
      </w:r>
      <w:r w:rsidRPr="0082173A">
        <w:rPr>
          <w:rFonts w:eastAsia="Calibri" w:cstheme="minorHAnsi"/>
        </w:rPr>
        <w:t>s</w:t>
      </w:r>
      <w:r w:rsidR="00716C2D" w:rsidRPr="0082173A">
        <w:rPr>
          <w:rFonts w:eastAsia="Calibri" w:cstheme="minorHAnsi"/>
        </w:rPr>
        <w:t xml:space="preserve"> como instrumento de controle pelo núcleo de Setorial Contábil</w:t>
      </w:r>
      <w:r w:rsidR="00EB38E7" w:rsidRPr="0082173A">
        <w:rPr>
          <w:rFonts w:eastAsia="Calibri" w:cstheme="minorHAnsi"/>
        </w:rPr>
        <w:t xml:space="preserve"> - SETCON</w:t>
      </w:r>
      <w:r w:rsidR="00716C2D" w:rsidRPr="0082173A">
        <w:rPr>
          <w:rFonts w:eastAsia="Calibri" w:cstheme="minorHAnsi"/>
        </w:rPr>
        <w:t xml:space="preserve">, conforme as normas contábeis vigentes no Brasil, a saber: Lei 4.320, de 17 de março de 1964, Lei Complementar nº 101, de 04 de maio de 2000 (Lei de Responsabilidade Fiscal), Normas Brasileiras de Contabilidade Técnicas do Setor Público (NBC TSP), Manual de Contabilidade Aplicada ao Setor Público e o Manual </w:t>
      </w:r>
      <w:r w:rsidR="00D64127" w:rsidRPr="0082173A">
        <w:rPr>
          <w:rFonts w:eastAsia="Calibri" w:cstheme="minorHAnsi"/>
        </w:rPr>
        <w:t>SIAFI</w:t>
      </w:r>
      <w:r w:rsidR="00716C2D" w:rsidRPr="0082173A">
        <w:rPr>
          <w:rFonts w:eastAsia="Calibri" w:cstheme="minorHAnsi"/>
        </w:rPr>
        <w:t xml:space="preserve">. </w:t>
      </w:r>
      <w:r w:rsidR="00D64127" w:rsidRPr="0082173A">
        <w:rPr>
          <w:rFonts w:eastAsia="Calibri" w:cstheme="minorHAnsi"/>
        </w:rPr>
        <w:br/>
      </w:r>
    </w:p>
    <w:p w14:paraId="29438C1C" w14:textId="6E0D015F" w:rsidR="00F65091" w:rsidRPr="00C47E9C" w:rsidRDefault="00C47E9C" w:rsidP="0082173A">
      <w:pPr>
        <w:spacing w:line="276" w:lineRule="auto"/>
        <w:jc w:val="both"/>
        <w:rPr>
          <w:rFonts w:eastAsia="Times New Roman" w:cstheme="minorHAnsi"/>
          <w:b/>
          <w:bCs/>
        </w:rPr>
      </w:pPr>
      <w:r>
        <w:rPr>
          <w:rFonts w:eastAsia="Times New Roman" w:cstheme="minorHAnsi"/>
          <w:b/>
          <w:bCs/>
        </w:rPr>
        <w:t>1</w:t>
      </w:r>
      <w:r w:rsidR="00716C2D" w:rsidRPr="00C47E9C">
        <w:rPr>
          <w:rFonts w:eastAsia="Times New Roman" w:cstheme="minorHAnsi"/>
          <w:b/>
          <w:bCs/>
        </w:rPr>
        <w:t>.1 - Principais Práticas e Procedimentos Contábeis na Justiça Eleitoral para o Exercício de 2022</w:t>
      </w:r>
    </w:p>
    <w:p w14:paraId="2819E57C" w14:textId="77777777" w:rsidR="006436B9" w:rsidRPr="0082173A" w:rsidRDefault="00716C2D" w:rsidP="0082173A">
      <w:pPr>
        <w:spacing w:line="276" w:lineRule="auto"/>
        <w:jc w:val="both"/>
        <w:rPr>
          <w:rFonts w:eastAsia="Times New Roman" w:cstheme="minorHAnsi"/>
        </w:rPr>
      </w:pPr>
      <w:r w:rsidRPr="0082173A">
        <w:rPr>
          <w:rFonts w:eastAsia="Times New Roman" w:cstheme="minorHAnsi"/>
        </w:rPr>
        <w:t>Alguns procedimentos contábeis relevantes e significativos estiveram em processo de correção, análise ou</w:t>
      </w:r>
      <w:r w:rsidRPr="0082173A">
        <w:rPr>
          <w:rFonts w:cstheme="minorHAnsi"/>
        </w:rPr>
        <w:br/>
      </w:r>
      <w:r w:rsidRPr="0082173A">
        <w:rPr>
          <w:rFonts w:eastAsia="Times New Roman" w:cstheme="minorHAnsi"/>
        </w:rPr>
        <w:t>alteração em relação aos exercícios anteriores a 2022. Esses procedimentos contábeis devem ser</w:t>
      </w:r>
      <w:r w:rsidRPr="0082173A">
        <w:rPr>
          <w:rFonts w:cstheme="minorHAnsi"/>
        </w:rPr>
        <w:br/>
      </w:r>
      <w:r w:rsidRPr="0082173A">
        <w:rPr>
          <w:rFonts w:eastAsia="Times New Roman" w:cstheme="minorHAnsi"/>
        </w:rPr>
        <w:t xml:space="preserve">considerados na análise das Demonstrações Contábeis do </w:t>
      </w:r>
      <w:r w:rsidR="006436B9" w:rsidRPr="0082173A">
        <w:rPr>
          <w:rFonts w:eastAsia="Times New Roman" w:cstheme="minorHAnsi"/>
        </w:rPr>
        <w:t>exercício</w:t>
      </w:r>
      <w:r w:rsidRPr="0082173A">
        <w:rPr>
          <w:rFonts w:eastAsia="Times New Roman" w:cstheme="minorHAnsi"/>
        </w:rPr>
        <w:t xml:space="preserve"> de 2022, pois podem impactar</w:t>
      </w:r>
      <w:r w:rsidRPr="0082173A">
        <w:rPr>
          <w:rFonts w:cstheme="minorHAnsi"/>
        </w:rPr>
        <w:br/>
      </w:r>
      <w:r w:rsidRPr="0082173A">
        <w:rPr>
          <w:rFonts w:eastAsia="Times New Roman" w:cstheme="minorHAnsi"/>
        </w:rPr>
        <w:t>na conta Ajustes de Exercícios Anteriores, no processo de prestação de contas ou na tomada de</w:t>
      </w:r>
      <w:r w:rsidRPr="0082173A">
        <w:rPr>
          <w:rFonts w:cstheme="minorHAnsi"/>
        </w:rPr>
        <w:br/>
      </w:r>
      <w:r w:rsidRPr="0082173A">
        <w:rPr>
          <w:rFonts w:eastAsia="Times New Roman" w:cstheme="minorHAnsi"/>
        </w:rPr>
        <w:t xml:space="preserve">decisão na Justiça Eleitoral. </w:t>
      </w:r>
    </w:p>
    <w:p w14:paraId="4D0FDDAF" w14:textId="2DA76D5F" w:rsidR="00651863" w:rsidRPr="00940878" w:rsidRDefault="00716C2D" w:rsidP="0082173A">
      <w:pPr>
        <w:spacing w:line="276" w:lineRule="auto"/>
        <w:jc w:val="both"/>
        <w:rPr>
          <w:rFonts w:eastAsia="Times New Roman" w:cstheme="minorHAnsi"/>
        </w:rPr>
      </w:pPr>
      <w:r w:rsidRPr="00940878">
        <w:rPr>
          <w:rFonts w:eastAsia="Times New Roman" w:cstheme="minorHAnsi"/>
        </w:rPr>
        <w:t>Entre os principais procedimentos contábeis, estão: o reconhecimento e a</w:t>
      </w:r>
      <w:r w:rsidRPr="00940878">
        <w:rPr>
          <w:rFonts w:cstheme="minorHAnsi"/>
        </w:rPr>
        <w:br/>
      </w:r>
      <w:r w:rsidRPr="00940878">
        <w:rPr>
          <w:rFonts w:eastAsia="Times New Roman" w:cstheme="minorHAnsi"/>
        </w:rPr>
        <w:t>mensuração dos ativos intangíveis, os ajustes necessários nos valores</w:t>
      </w:r>
      <w:r w:rsidR="00651863" w:rsidRPr="00940878">
        <w:rPr>
          <w:rFonts w:eastAsia="Times New Roman" w:cstheme="minorHAnsi"/>
        </w:rPr>
        <w:t xml:space="preserve"> mensurados e padronizados para as Urnas Eletrônicas, a reavaliação de bens móveis e imóveis na Justiça Eleitoral</w:t>
      </w:r>
      <w:r w:rsidR="0082173A" w:rsidRPr="00940878">
        <w:rPr>
          <w:rFonts w:eastAsia="Times New Roman" w:cstheme="minorHAnsi"/>
        </w:rPr>
        <w:t>.</w:t>
      </w:r>
    </w:p>
    <w:p w14:paraId="0611B5A0" w14:textId="77777777" w:rsidR="0062535A" w:rsidRPr="0082173A" w:rsidRDefault="0062535A" w:rsidP="0082173A">
      <w:pPr>
        <w:spacing w:line="276" w:lineRule="auto"/>
        <w:jc w:val="both"/>
        <w:rPr>
          <w:rFonts w:eastAsia="Times New Roman" w:cstheme="minorHAnsi"/>
          <w:color w:val="FF0000"/>
        </w:rPr>
      </w:pPr>
    </w:p>
    <w:p w14:paraId="75B55824" w14:textId="44D01996" w:rsidR="00F65091" w:rsidRPr="00C47E9C" w:rsidRDefault="00733018" w:rsidP="00C47E9C">
      <w:pPr>
        <w:pStyle w:val="PargrafodaLista"/>
        <w:numPr>
          <w:ilvl w:val="0"/>
          <w:numId w:val="1"/>
        </w:numPr>
        <w:jc w:val="both"/>
        <w:rPr>
          <w:rFonts w:eastAsia="Calibri" w:cs="Calibri"/>
          <w:b/>
          <w:bCs/>
        </w:rPr>
      </w:pPr>
      <w:r w:rsidRPr="00C47E9C">
        <w:rPr>
          <w:rFonts w:eastAsia="Calibri" w:cs="Calibri"/>
          <w:b/>
          <w:bCs/>
        </w:rPr>
        <w:t xml:space="preserve">NOTAS EXPLICATIVAS </w:t>
      </w:r>
    </w:p>
    <w:p w14:paraId="49035424" w14:textId="00C06F81" w:rsidR="00F65091" w:rsidRDefault="00733018">
      <w:pPr>
        <w:jc w:val="both"/>
        <w:rPr>
          <w:rFonts w:eastAsia="Calibri" w:cs="Calibri"/>
          <w:b/>
          <w:bCs/>
        </w:rPr>
      </w:pPr>
      <w:r>
        <w:rPr>
          <w:rFonts w:eastAsia="Calibri" w:cs="Calibri"/>
          <w:b/>
          <w:bCs/>
        </w:rPr>
        <w:br/>
      </w:r>
      <w:r w:rsidR="00C416A9">
        <w:rPr>
          <w:rFonts w:eastAsia="Calibri" w:cs="Calibri"/>
          <w:b/>
          <w:bCs/>
        </w:rPr>
        <w:t>2</w:t>
      </w:r>
      <w:r w:rsidR="00716C2D">
        <w:rPr>
          <w:rFonts w:eastAsia="Calibri" w:cs="Calibri"/>
          <w:b/>
          <w:bCs/>
        </w:rPr>
        <w:t>.1</w:t>
      </w:r>
      <w:r w:rsidR="00716C2D">
        <w:rPr>
          <w:b/>
          <w:bCs/>
        </w:rPr>
        <w:tab/>
      </w:r>
      <w:r w:rsidR="00716C2D">
        <w:rPr>
          <w:rFonts w:eastAsia="Calibri" w:cs="Calibri"/>
          <w:b/>
          <w:bCs/>
        </w:rPr>
        <w:t>BALANÇO PATRIMONIAL</w:t>
      </w:r>
    </w:p>
    <w:p w14:paraId="7EDE58A7" w14:textId="03FA972C" w:rsidR="00D83AF0" w:rsidRDefault="00C47E9C">
      <w:pPr>
        <w:jc w:val="both"/>
      </w:pPr>
      <w:r>
        <w:rPr>
          <w:rFonts w:eastAsia="Calibri" w:cs="Calibri"/>
          <w:b/>
          <w:bCs/>
        </w:rPr>
        <w:br/>
      </w:r>
      <w:r w:rsidR="00C416A9">
        <w:rPr>
          <w:rFonts w:eastAsia="Calibri" w:cs="Calibri"/>
          <w:b/>
          <w:bCs/>
        </w:rPr>
        <w:t>2</w:t>
      </w:r>
      <w:r w:rsidR="00D83AF0">
        <w:rPr>
          <w:rFonts w:eastAsia="Calibri" w:cs="Calibri"/>
          <w:b/>
          <w:bCs/>
        </w:rPr>
        <w:t xml:space="preserve">.1.1 </w:t>
      </w:r>
      <w:r w:rsidR="00D83AF0">
        <w:rPr>
          <w:rFonts w:eastAsia="Calibri" w:cs="Calibri"/>
          <w:b/>
          <w:bCs/>
        </w:rPr>
        <w:tab/>
        <w:t>ATIVO</w:t>
      </w:r>
    </w:p>
    <w:p w14:paraId="1FBFB4AF" w14:textId="3F8617A0" w:rsidR="00F65091" w:rsidRDefault="00C47E9C">
      <w:pPr>
        <w:jc w:val="both"/>
      </w:pPr>
      <w:r>
        <w:rPr>
          <w:rFonts w:eastAsia="Calibri" w:cs="Calibri"/>
          <w:b/>
          <w:bCs/>
        </w:rPr>
        <w:br/>
      </w:r>
      <w:r w:rsidR="00716C2D">
        <w:rPr>
          <w:rFonts w:eastAsia="Calibri" w:cs="Calibri"/>
          <w:b/>
          <w:bCs/>
        </w:rPr>
        <w:t>Nota 01</w:t>
      </w:r>
      <w:r w:rsidR="00716C2D">
        <w:rPr>
          <w:rFonts w:eastAsia="Calibri" w:cs="Calibri"/>
        </w:rPr>
        <w:t xml:space="preserve"> - </w:t>
      </w:r>
      <w:r w:rsidR="00716C2D">
        <w:rPr>
          <w:rFonts w:eastAsia="Calibri" w:cs="Calibri"/>
          <w:b/>
          <w:bCs/>
        </w:rPr>
        <w:t xml:space="preserve">CAIXA E EQUIVALENTE DE CAIXA </w:t>
      </w:r>
    </w:p>
    <w:p w14:paraId="18835B9E" w14:textId="637AFD48" w:rsidR="00F65091" w:rsidRDefault="00716C2D">
      <w:pPr>
        <w:jc w:val="both"/>
      </w:pPr>
      <w:r>
        <w:rPr>
          <w:rFonts w:eastAsia="Calibri" w:cs="Calibri"/>
        </w:rPr>
        <w:t>Refere-se aos valores liberados pelo Tesouro Nacional e representa recursos de livre movimentação, para aplicação nas operações da entidade e para os quais não haja restrições para uso imediato, referentes às dotações aprovadas na Lei Orçamentária Anual para o exercício de 2022 e de recursos para pagamento dos Restos a Pagar.</w:t>
      </w:r>
    </w:p>
    <w:p w14:paraId="0330DCED" w14:textId="78F2B857" w:rsidR="00664E63" w:rsidRDefault="00716C2D" w:rsidP="00AF3990">
      <w:pPr>
        <w:rPr>
          <w:rFonts w:eastAsia="Calibri" w:cs="Calibri"/>
        </w:rPr>
      </w:pPr>
      <w:r>
        <w:rPr>
          <w:rFonts w:eastAsia="Calibri" w:cs="Calibri"/>
        </w:rPr>
        <w:t>No ano de 2022, a conta Caixa e Equivalente de Caixa encerrou o exercício com o montante de R$ 1.773.344,01, com um decréscimo de 74,6% em relação ao ano anterior.</w:t>
      </w:r>
      <w:r w:rsidR="00291BBE">
        <w:rPr>
          <w:rFonts w:eastAsia="Calibri" w:cs="Calibri"/>
        </w:rPr>
        <w:br/>
      </w:r>
    </w:p>
    <w:p w14:paraId="025E7F2A" w14:textId="2ED33DB3" w:rsidR="00F65091" w:rsidRDefault="00664E63" w:rsidP="00291BBE">
      <w:pPr>
        <w:jc w:val="center"/>
        <w:rPr>
          <w:rFonts w:ascii="Calibri" w:eastAsia="Calibri" w:hAnsi="Calibri" w:cs="Calibri"/>
        </w:rPr>
      </w:pPr>
      <w:r>
        <w:rPr>
          <w:rFonts w:eastAsia="Calibri"/>
          <w:b/>
          <w:bCs/>
        </w:rPr>
        <w:t>Tabela 01 – Caixa e Equivalente de Caixa R$</w:t>
      </w:r>
    </w:p>
    <w:tbl>
      <w:tblPr>
        <w:tblStyle w:val="ListaColorida-nfase6"/>
        <w:tblW w:w="7679" w:type="dxa"/>
        <w:tblInd w:w="1127" w:type="dxa"/>
        <w:tblLayout w:type="fixed"/>
        <w:tblLook w:val="0680" w:firstRow="0" w:lastRow="0" w:firstColumn="1" w:lastColumn="0" w:noHBand="1" w:noVBand="1"/>
      </w:tblPr>
      <w:tblGrid>
        <w:gridCol w:w="3015"/>
        <w:gridCol w:w="1694"/>
        <w:gridCol w:w="1891"/>
        <w:gridCol w:w="1079"/>
      </w:tblGrid>
      <w:tr w:rsidR="00111CD0" w14:paraId="20226129"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5" w:type="dxa"/>
            <w:vMerge w:val="restart"/>
          </w:tcPr>
          <w:p w14:paraId="7FDC6B57" w14:textId="755D69A1" w:rsidR="00111CD0" w:rsidRPr="00897E9D" w:rsidRDefault="00111CD0" w:rsidP="00291BBE">
            <w:pPr>
              <w:spacing w:after="0" w:line="240" w:lineRule="auto"/>
              <w:jc w:val="center"/>
              <w:rPr>
                <w:rFonts w:ascii="Calibri" w:eastAsia="Calibri" w:hAnsi="Calibri" w:cs="Calibri"/>
                <w:b w:val="0"/>
                <w:bCs w:val="0"/>
              </w:rPr>
            </w:pPr>
            <w:r w:rsidRPr="00897E9D">
              <w:rPr>
                <w:rFonts w:ascii="Calibri" w:eastAsia="Calibri" w:hAnsi="Calibri" w:cs="Calibri"/>
                <w:b w:val="0"/>
                <w:bCs w:val="0"/>
              </w:rPr>
              <w:t>Recursos liberados pelo Tesouro</w:t>
            </w:r>
          </w:p>
        </w:tc>
        <w:tc>
          <w:tcPr>
            <w:tcW w:w="1694" w:type="dxa"/>
          </w:tcPr>
          <w:p w14:paraId="460EDC25" w14:textId="77777777" w:rsidR="00111CD0" w:rsidRPr="00291BBE" w:rsidRDefault="00111CD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291BBE">
              <w:rPr>
                <w:rFonts w:eastAsia="Calibri" w:cs="Calibri"/>
                <w:b/>
                <w:bCs/>
              </w:rPr>
              <w:t>31/12/2022</w:t>
            </w:r>
          </w:p>
        </w:tc>
        <w:tc>
          <w:tcPr>
            <w:tcW w:w="1891" w:type="dxa"/>
          </w:tcPr>
          <w:p w14:paraId="432054E1" w14:textId="77777777" w:rsidR="00111CD0" w:rsidRPr="00291BBE" w:rsidRDefault="00111CD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291BBE">
              <w:rPr>
                <w:rFonts w:eastAsia="Calibri" w:cs="Calibri"/>
                <w:b/>
                <w:bCs/>
              </w:rPr>
              <w:t>31/12/2021</w:t>
            </w:r>
          </w:p>
        </w:tc>
        <w:tc>
          <w:tcPr>
            <w:tcW w:w="1079" w:type="dxa"/>
          </w:tcPr>
          <w:p w14:paraId="4A65029F" w14:textId="77777777" w:rsidR="00111CD0" w:rsidRPr="00291BBE" w:rsidRDefault="00111CD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291BBE">
              <w:rPr>
                <w:rFonts w:eastAsia="Calibri" w:cs="Calibri"/>
                <w:b/>
                <w:bCs/>
              </w:rPr>
              <w:t>AH %</w:t>
            </w:r>
          </w:p>
        </w:tc>
      </w:tr>
      <w:tr w:rsidR="00111CD0" w14:paraId="139C7CA0"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5" w:type="dxa"/>
            <w:vMerge/>
          </w:tcPr>
          <w:p w14:paraId="61F61BBD" w14:textId="247BFBC4" w:rsidR="00111CD0" w:rsidRDefault="00111CD0">
            <w:pPr>
              <w:spacing w:after="0" w:line="240" w:lineRule="auto"/>
              <w:rPr>
                <w:rFonts w:ascii="Calibri" w:eastAsia="Calibri" w:hAnsi="Calibri" w:cs="Calibri"/>
              </w:rPr>
            </w:pPr>
          </w:p>
        </w:tc>
        <w:tc>
          <w:tcPr>
            <w:tcW w:w="1694" w:type="dxa"/>
          </w:tcPr>
          <w:p w14:paraId="39930431" w14:textId="77777777" w:rsidR="00111CD0" w:rsidRDefault="00111CD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eastAsia="Calibri" w:cs="Calibri"/>
              </w:rPr>
              <w:t>1.773.344,01</w:t>
            </w:r>
          </w:p>
        </w:tc>
        <w:tc>
          <w:tcPr>
            <w:tcW w:w="1891" w:type="dxa"/>
          </w:tcPr>
          <w:p w14:paraId="5814A02B" w14:textId="77777777" w:rsidR="00111CD0" w:rsidRDefault="00111CD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eastAsia="Calibri" w:cs="Calibri"/>
              </w:rPr>
              <w:t>6.982.489,81</w:t>
            </w:r>
          </w:p>
        </w:tc>
        <w:tc>
          <w:tcPr>
            <w:tcW w:w="1079" w:type="dxa"/>
          </w:tcPr>
          <w:p w14:paraId="2A517FB1" w14:textId="77777777" w:rsidR="00111CD0" w:rsidRDefault="00111CD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eastAsia="Calibri" w:cs="Calibri"/>
              </w:rPr>
              <w:t>- 74,6</w:t>
            </w:r>
          </w:p>
        </w:tc>
      </w:tr>
    </w:tbl>
    <w:p w14:paraId="7565B900" w14:textId="0CF7BBB9" w:rsidR="00F65091" w:rsidRDefault="00716C2D">
      <w:pPr>
        <w:rPr>
          <w:rFonts w:ascii="Calibri" w:eastAsia="Calibri" w:hAnsi="Calibri" w:cs="Calibri"/>
          <w:color w:val="FF0000"/>
        </w:rPr>
      </w:pPr>
      <w:r>
        <w:rPr>
          <w:rFonts w:eastAsia="Calibri" w:cs="Calibri"/>
          <w:sz w:val="18"/>
          <w:szCs w:val="18"/>
        </w:rPr>
        <w:t xml:space="preserve">           </w:t>
      </w:r>
      <w:r>
        <w:tab/>
      </w:r>
      <w:r>
        <w:rPr>
          <w:rFonts w:eastAsia="Calibri" w:cs="Calibri"/>
          <w:sz w:val="18"/>
          <w:szCs w:val="18"/>
        </w:rPr>
        <w:t xml:space="preserve">     </w:t>
      </w:r>
      <w:r w:rsidR="00733018">
        <w:rPr>
          <w:rFonts w:eastAsia="Calibri" w:cs="Calibri"/>
          <w:sz w:val="18"/>
          <w:szCs w:val="18"/>
        </w:rPr>
        <w:t xml:space="preserve">       </w:t>
      </w:r>
      <w:r>
        <w:rPr>
          <w:rFonts w:eastAsia="Calibri" w:cs="Calibri"/>
          <w:sz w:val="18"/>
          <w:szCs w:val="18"/>
        </w:rPr>
        <w:t>Fonte: SIAFI.</w:t>
      </w:r>
    </w:p>
    <w:p w14:paraId="5A771BA7" w14:textId="77777777" w:rsidR="00F65091" w:rsidRDefault="00F65091">
      <w:pPr>
        <w:rPr>
          <w:rFonts w:ascii="Calibri" w:eastAsia="Calibri" w:hAnsi="Calibri" w:cs="Calibri"/>
          <w:color w:val="FF0000"/>
        </w:rPr>
      </w:pPr>
    </w:p>
    <w:p w14:paraId="31BB69BA" w14:textId="77777777" w:rsidR="00F65091" w:rsidRPr="009C0559" w:rsidRDefault="00716C2D" w:rsidP="00E27CB7">
      <w:pPr>
        <w:spacing w:line="276" w:lineRule="auto"/>
        <w:jc w:val="both"/>
        <w:rPr>
          <w:rFonts w:ascii="Calibri" w:eastAsia="Calibri" w:hAnsi="Calibri" w:cs="Calibri"/>
        </w:rPr>
      </w:pPr>
      <w:r w:rsidRPr="009C0559">
        <w:rPr>
          <w:rFonts w:eastAsia="Calibri" w:cs="Calibri"/>
        </w:rPr>
        <w:t>A redução pode ser justificada pelos pagamentos de despesas no exercício 2022, visando o atendimento às despesas obrigatórias de custeio e de investimentos no decorrer da execução do exercício financeiro, inclusive valores direcionados a elaboração das eleições gerais de 2022.</w:t>
      </w:r>
    </w:p>
    <w:p w14:paraId="7DD3E440" w14:textId="77777777" w:rsidR="00F65091" w:rsidRDefault="00F65091" w:rsidP="00E27CB7">
      <w:pPr>
        <w:spacing w:line="276" w:lineRule="auto"/>
        <w:rPr>
          <w:rFonts w:ascii="Calibri" w:eastAsia="Calibri" w:hAnsi="Calibri" w:cs="Calibri"/>
          <w:color w:val="FF0000"/>
        </w:rPr>
      </w:pPr>
    </w:p>
    <w:p w14:paraId="44E869BB" w14:textId="77777777" w:rsidR="00F65091" w:rsidRDefault="00716C2D" w:rsidP="00E27CB7">
      <w:pPr>
        <w:spacing w:line="276" w:lineRule="auto"/>
        <w:rPr>
          <w:rFonts w:ascii="Calibri" w:eastAsia="Calibri" w:hAnsi="Calibri" w:cs="Calibri"/>
        </w:rPr>
      </w:pPr>
      <w:r>
        <w:rPr>
          <w:rFonts w:eastAsia="Calibri" w:cs="Calibri"/>
          <w:b/>
          <w:bCs/>
        </w:rPr>
        <w:t>Nota 02</w:t>
      </w:r>
      <w:r>
        <w:rPr>
          <w:rFonts w:eastAsia="Calibri" w:cs="Calibri"/>
        </w:rPr>
        <w:t xml:space="preserve"> </w:t>
      </w:r>
      <w:r>
        <w:rPr>
          <w:rFonts w:eastAsia="Calibri" w:cs="Calibri"/>
          <w:b/>
          <w:bCs/>
        </w:rPr>
        <w:t>– DEMAIS CRÉDITOS E VALORES</w:t>
      </w:r>
    </w:p>
    <w:p w14:paraId="232CF5CA" w14:textId="0E905AFA" w:rsidR="00F65091" w:rsidRDefault="00716C2D" w:rsidP="00E27CB7">
      <w:pPr>
        <w:spacing w:line="276" w:lineRule="auto"/>
        <w:jc w:val="both"/>
        <w:rPr>
          <w:rFonts w:ascii="Calibri" w:eastAsia="Calibri" w:hAnsi="Calibri" w:cs="Calibri"/>
        </w:rPr>
      </w:pPr>
      <w:r>
        <w:rPr>
          <w:rFonts w:eastAsia="Calibri" w:cs="Calibri"/>
        </w:rPr>
        <w:t>A conta Demais Créditos e Valores a Curto Prazo compreende os valores a receber por transações realizáveis no exercício corrente ou direitos a curto prazo referentes às transferências ou adiantamentos concedidos e realizados e ainda não comprovados de serviços prestados ou recursos aplicados por terceiros.</w:t>
      </w:r>
    </w:p>
    <w:p w14:paraId="0EDE0B78" w14:textId="77777777" w:rsidR="00F65091" w:rsidRDefault="00F65091" w:rsidP="00E27CB7">
      <w:pPr>
        <w:spacing w:line="276" w:lineRule="auto"/>
        <w:rPr>
          <w:rFonts w:ascii="Calibri" w:eastAsia="Calibri" w:hAnsi="Calibri" w:cs="Calibri"/>
        </w:rPr>
      </w:pPr>
    </w:p>
    <w:p w14:paraId="776AC033" w14:textId="77777777" w:rsidR="00F65091" w:rsidRDefault="00716C2D" w:rsidP="00E27CB7">
      <w:pPr>
        <w:spacing w:line="276" w:lineRule="auto"/>
        <w:jc w:val="both"/>
        <w:rPr>
          <w:rFonts w:ascii="Calibri" w:eastAsia="Calibri" w:hAnsi="Calibri" w:cs="Calibri"/>
        </w:rPr>
      </w:pPr>
      <w:r>
        <w:rPr>
          <w:rFonts w:eastAsia="Calibri" w:cs="Calibri"/>
          <w:b/>
          <w:bCs/>
        </w:rPr>
        <w:t>Nota 03</w:t>
      </w:r>
      <w:r>
        <w:rPr>
          <w:rFonts w:eastAsia="Calibri" w:cs="Calibri"/>
        </w:rPr>
        <w:t xml:space="preserve"> </w:t>
      </w:r>
      <w:r>
        <w:rPr>
          <w:rFonts w:eastAsia="Calibri" w:cs="Calibri"/>
          <w:b/>
          <w:bCs/>
        </w:rPr>
        <w:t>- ESTOQUES</w:t>
      </w:r>
    </w:p>
    <w:p w14:paraId="555C5AEA" w14:textId="77777777" w:rsidR="00F65091" w:rsidRDefault="00716C2D" w:rsidP="00E27CB7">
      <w:pPr>
        <w:spacing w:line="276" w:lineRule="auto"/>
        <w:jc w:val="both"/>
        <w:rPr>
          <w:rFonts w:ascii="Calibri" w:eastAsia="Calibri" w:hAnsi="Calibri" w:cs="Calibri"/>
        </w:rPr>
      </w:pPr>
      <w:r>
        <w:rPr>
          <w:rFonts w:eastAsia="Calibri" w:cs="Calibri"/>
        </w:rPr>
        <w:t>Essa conta se refere ao valor dos bens adquiridos com a finalidade de utilização própria no curso normal das atividades deste TRE/ES. Os estoques são mensurados pelo custo histórico (valor de aquisição/produção/construção).</w:t>
      </w:r>
    </w:p>
    <w:p w14:paraId="53189C8C" w14:textId="77777777" w:rsidR="00F65091" w:rsidRDefault="00716C2D" w:rsidP="00E27CB7">
      <w:pPr>
        <w:spacing w:line="276" w:lineRule="auto"/>
        <w:jc w:val="both"/>
        <w:rPr>
          <w:rFonts w:ascii="Calibri" w:eastAsia="Calibri" w:hAnsi="Calibri" w:cs="Calibri"/>
        </w:rPr>
      </w:pPr>
      <w:r>
        <w:rPr>
          <w:rFonts w:eastAsia="Calibri" w:cs="Calibri"/>
        </w:rPr>
        <w:t>A conta estoques encerrou o exercício de 2022 com o valor total de R$ 608.921,01, o que representou uma variação diminutiva de -17,71% em relação a 2021.</w:t>
      </w:r>
    </w:p>
    <w:p w14:paraId="004E0A9D" w14:textId="77777777" w:rsidR="00F65091" w:rsidRDefault="00F65091">
      <w:pPr>
        <w:jc w:val="both"/>
        <w:rPr>
          <w:rFonts w:ascii="Calibri" w:eastAsia="Calibri" w:hAnsi="Calibri" w:cs="Calibri"/>
        </w:rPr>
      </w:pPr>
    </w:p>
    <w:p w14:paraId="5C6BEFCB" w14:textId="77777777" w:rsidR="00F65091" w:rsidRDefault="00F65091">
      <w:pPr>
        <w:jc w:val="both"/>
        <w:rPr>
          <w:rFonts w:ascii="Calibri" w:eastAsia="Calibri" w:hAnsi="Calibri" w:cs="Calibri"/>
          <w:b/>
          <w:bCs/>
        </w:rPr>
      </w:pPr>
    </w:p>
    <w:p w14:paraId="33DB239A" w14:textId="77777777" w:rsidR="00F65091" w:rsidRDefault="00716C2D">
      <w:pPr>
        <w:jc w:val="both"/>
      </w:pPr>
      <w:r>
        <w:rPr>
          <w:rFonts w:eastAsia="Calibri" w:cs="Calibri"/>
          <w:b/>
          <w:bCs/>
        </w:rPr>
        <w:lastRenderedPageBreak/>
        <w:t xml:space="preserve">Nota 04 </w:t>
      </w:r>
      <w:r>
        <w:rPr>
          <w:rFonts w:eastAsia="Calibri" w:cs="Calibri"/>
        </w:rPr>
        <w:t xml:space="preserve">- </w:t>
      </w:r>
      <w:r>
        <w:rPr>
          <w:rFonts w:eastAsia="Calibri" w:cs="Calibri"/>
          <w:b/>
          <w:bCs/>
        </w:rPr>
        <w:t>IMOBILIZADO</w:t>
      </w:r>
      <w:r>
        <w:rPr>
          <w:rFonts w:eastAsia="Calibri" w:cs="Calibri"/>
        </w:rPr>
        <w:t xml:space="preserve"> </w:t>
      </w:r>
    </w:p>
    <w:p w14:paraId="78F19126" w14:textId="77777777" w:rsidR="00F65091" w:rsidRDefault="00716C2D" w:rsidP="00E27CB7">
      <w:pPr>
        <w:spacing w:line="276" w:lineRule="auto"/>
        <w:jc w:val="both"/>
      </w:pPr>
      <w:r>
        <w:rPr>
          <w:rFonts w:eastAsia="Calibri" w:cs="Calibri"/>
        </w:rPr>
        <w:t xml:space="preserve">O ativo imobilizado representa os direitos que têm por objeto bens corpóreos (móveis e imóveis) destinados à manutenção das atividades da entidade ou exercidos com essa finalidade, inclusive os decorrentes de operações que transfiram à entidade os benefícios, os riscos e o controle desses bens. </w:t>
      </w:r>
    </w:p>
    <w:p w14:paraId="665A6693" w14:textId="77777777" w:rsidR="00F65091" w:rsidRDefault="00716C2D" w:rsidP="00E27CB7">
      <w:pPr>
        <w:spacing w:line="276" w:lineRule="auto"/>
        <w:jc w:val="both"/>
      </w:pPr>
      <w:r>
        <w:rPr>
          <w:rFonts w:eastAsia="Calibri" w:cs="Calibri"/>
        </w:rPr>
        <w:t xml:space="preserve">É reconhecido, inicialmente, com base no valor de aquisição, construção ou produção. Quando se tratar de ativos do imobilizado obtidos a título gratuito, são registrados pelo valor justo na data da aquisição (considerando o valor da avaliação decorrente de procedimento técnico ou valor patrimonial definido nos termos da doação). Após o reconhecimento inicial, ficam sujeitos à depreciação, amortização ou exaustão, bem como ao valor recuperável e reavaliação. </w:t>
      </w:r>
    </w:p>
    <w:p w14:paraId="351DF456" w14:textId="06F39209" w:rsidR="00F65091" w:rsidRDefault="00716C2D" w:rsidP="00166DF2">
      <w:pPr>
        <w:spacing w:line="276" w:lineRule="auto"/>
        <w:rPr>
          <w:rFonts w:eastAsia="Calibri" w:cs="Calibri"/>
        </w:rPr>
      </w:pPr>
      <w:r>
        <w:rPr>
          <w:rFonts w:eastAsia="Calibri" w:cs="Calibri"/>
        </w:rPr>
        <w:t>No encerramento do exercício de 2022, o Imobilizado do TRE/ES apresentou saldo de R$ 95.013.091,86, sendo a sua composição apresentada na tabela a seguir.</w:t>
      </w:r>
    </w:p>
    <w:p w14:paraId="0CAA46CB" w14:textId="7B6A8A85" w:rsidR="00E75705" w:rsidRDefault="00E75705" w:rsidP="00E75705">
      <w:pPr>
        <w:jc w:val="center"/>
        <w:rPr>
          <w:rFonts w:ascii="Calibri" w:eastAsia="Calibri" w:hAnsi="Calibri" w:cs="Calibri"/>
        </w:rPr>
      </w:pPr>
      <w:r>
        <w:rPr>
          <w:rFonts w:eastAsia="Calibri"/>
          <w:b/>
          <w:bCs/>
        </w:rPr>
        <w:t>Tabela 03 – Imobilizado R$</w:t>
      </w:r>
    </w:p>
    <w:tbl>
      <w:tblPr>
        <w:tblStyle w:val="ListaColorida-nfase6"/>
        <w:tblW w:w="7499" w:type="dxa"/>
        <w:tblInd w:w="1217" w:type="dxa"/>
        <w:tblLayout w:type="fixed"/>
        <w:tblLook w:val="0680" w:firstRow="0" w:lastRow="0" w:firstColumn="1" w:lastColumn="0" w:noHBand="1" w:noVBand="1"/>
      </w:tblPr>
      <w:tblGrid>
        <w:gridCol w:w="3014"/>
        <w:gridCol w:w="1726"/>
        <w:gridCol w:w="1725"/>
        <w:gridCol w:w="1034"/>
      </w:tblGrid>
      <w:tr w:rsidR="00F65091" w14:paraId="6F62DE43"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4" w:type="dxa"/>
          </w:tcPr>
          <w:p w14:paraId="3B0AA59A" w14:textId="77777777" w:rsidR="00F65091" w:rsidRPr="00E75705" w:rsidRDefault="00716C2D" w:rsidP="002B0A00">
            <w:pPr>
              <w:spacing w:after="0" w:line="360" w:lineRule="auto"/>
              <w:rPr>
                <w:rFonts w:ascii="Calibri" w:eastAsia="Calibri" w:hAnsi="Calibri" w:cs="Calibri"/>
              </w:rPr>
            </w:pPr>
            <w:r w:rsidRPr="00E75705">
              <w:rPr>
                <w:rFonts w:eastAsia="Calibri" w:cs="Calibri"/>
              </w:rPr>
              <w:t>Imobilizado</w:t>
            </w:r>
          </w:p>
        </w:tc>
        <w:tc>
          <w:tcPr>
            <w:tcW w:w="1726" w:type="dxa"/>
          </w:tcPr>
          <w:p w14:paraId="227FC769"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31/12/2022</w:t>
            </w:r>
          </w:p>
        </w:tc>
        <w:tc>
          <w:tcPr>
            <w:tcW w:w="1725" w:type="dxa"/>
          </w:tcPr>
          <w:p w14:paraId="1B11BF0B"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31/12/2021</w:t>
            </w:r>
          </w:p>
        </w:tc>
        <w:tc>
          <w:tcPr>
            <w:tcW w:w="1034" w:type="dxa"/>
          </w:tcPr>
          <w:p w14:paraId="12DACFCE" w14:textId="77777777" w:rsidR="00F65091" w:rsidRPr="00E75705" w:rsidRDefault="00716C2D">
            <w:pPr>
              <w:spacing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AH %</w:t>
            </w:r>
          </w:p>
        </w:tc>
      </w:tr>
      <w:tr w:rsidR="00F65091" w14:paraId="216A77DC"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4" w:type="dxa"/>
          </w:tcPr>
          <w:p w14:paraId="3EF594AB" w14:textId="77777777" w:rsidR="00F65091" w:rsidRPr="00E75705" w:rsidRDefault="00716C2D" w:rsidP="002B0A00">
            <w:pPr>
              <w:spacing w:after="0" w:line="360" w:lineRule="auto"/>
              <w:rPr>
                <w:rFonts w:ascii="Calibri" w:eastAsia="Calibri" w:hAnsi="Calibri" w:cs="Calibri"/>
              </w:rPr>
            </w:pPr>
            <w:r w:rsidRPr="00E75705">
              <w:rPr>
                <w:rFonts w:eastAsia="Calibri" w:cs="Calibri"/>
              </w:rPr>
              <w:t>Bens Móveis</w:t>
            </w:r>
          </w:p>
        </w:tc>
        <w:tc>
          <w:tcPr>
            <w:tcW w:w="1726" w:type="dxa"/>
          </w:tcPr>
          <w:p w14:paraId="6E554659"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25.926.924,71</w:t>
            </w:r>
          </w:p>
        </w:tc>
        <w:tc>
          <w:tcPr>
            <w:tcW w:w="1725" w:type="dxa"/>
          </w:tcPr>
          <w:p w14:paraId="5878C98E"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18.372.539,61</w:t>
            </w:r>
          </w:p>
        </w:tc>
        <w:tc>
          <w:tcPr>
            <w:tcW w:w="1034" w:type="dxa"/>
          </w:tcPr>
          <w:p w14:paraId="2CD924EE"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41,17</w:t>
            </w:r>
          </w:p>
        </w:tc>
      </w:tr>
      <w:tr w:rsidR="00F65091" w14:paraId="314255CD"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4" w:type="dxa"/>
          </w:tcPr>
          <w:p w14:paraId="0C84EBA5" w14:textId="77777777" w:rsidR="00F65091" w:rsidRPr="00E75705" w:rsidRDefault="00716C2D" w:rsidP="002B0A00">
            <w:pPr>
              <w:spacing w:after="0" w:line="360" w:lineRule="auto"/>
              <w:rPr>
                <w:rFonts w:ascii="Calibri" w:eastAsia="Calibri" w:hAnsi="Calibri" w:cs="Calibri"/>
                <w:b w:val="0"/>
                <w:bCs w:val="0"/>
              </w:rPr>
            </w:pPr>
            <w:r w:rsidRPr="00E75705">
              <w:rPr>
                <w:rFonts w:eastAsia="Calibri" w:cs="Calibri"/>
                <w:b w:val="0"/>
                <w:bCs w:val="0"/>
              </w:rPr>
              <w:t>(+) Valor Bruto Contábil</w:t>
            </w:r>
          </w:p>
        </w:tc>
        <w:tc>
          <w:tcPr>
            <w:tcW w:w="1726" w:type="dxa"/>
          </w:tcPr>
          <w:p w14:paraId="6250DFAC" w14:textId="77777777" w:rsidR="00F65091" w:rsidRPr="00E75705" w:rsidRDefault="00716C2D">
            <w:pPr>
              <w:spacing w:after="0"/>
              <w:jc w:val="center"/>
              <w:cnfStyle w:val="000000000000" w:firstRow="0" w:lastRow="0" w:firstColumn="0" w:lastColumn="0" w:oddVBand="0" w:evenVBand="0" w:oddHBand="0" w:evenHBand="0" w:firstRowFirstColumn="0" w:firstRowLastColumn="0" w:lastRowFirstColumn="0" w:lastRowLastColumn="0"/>
            </w:pPr>
            <w:r w:rsidRPr="00E75705">
              <w:rPr>
                <w:rFonts w:eastAsia="Calibri" w:cs="Calibri"/>
              </w:rPr>
              <w:t>45.550.334,88</w:t>
            </w:r>
          </w:p>
        </w:tc>
        <w:tc>
          <w:tcPr>
            <w:tcW w:w="1725" w:type="dxa"/>
          </w:tcPr>
          <w:p w14:paraId="53A1B54E"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32.521.896,52</w:t>
            </w:r>
          </w:p>
        </w:tc>
        <w:tc>
          <w:tcPr>
            <w:tcW w:w="1034" w:type="dxa"/>
          </w:tcPr>
          <w:p w14:paraId="7DB559C8"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40,06</w:t>
            </w:r>
          </w:p>
        </w:tc>
      </w:tr>
      <w:tr w:rsidR="00F65091" w14:paraId="716C3C21"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4" w:type="dxa"/>
          </w:tcPr>
          <w:p w14:paraId="58E274F5" w14:textId="77777777" w:rsidR="00F65091" w:rsidRPr="00E75705" w:rsidRDefault="00716C2D" w:rsidP="002B0A00">
            <w:pPr>
              <w:spacing w:after="0" w:line="360" w:lineRule="auto"/>
              <w:rPr>
                <w:rFonts w:ascii="Calibri" w:eastAsia="Calibri" w:hAnsi="Calibri" w:cs="Calibri"/>
                <w:b w:val="0"/>
                <w:bCs w:val="0"/>
              </w:rPr>
            </w:pPr>
            <w:r w:rsidRPr="00E75705">
              <w:rPr>
                <w:rFonts w:eastAsia="Calibri" w:cs="Calibri"/>
                <w:b w:val="0"/>
                <w:bCs w:val="0"/>
              </w:rPr>
              <w:t xml:space="preserve">(-) </w:t>
            </w:r>
            <w:proofErr w:type="spellStart"/>
            <w:r w:rsidRPr="00E75705">
              <w:rPr>
                <w:rFonts w:eastAsia="Calibri" w:cs="Calibri"/>
                <w:b w:val="0"/>
                <w:bCs w:val="0"/>
              </w:rPr>
              <w:t>Deprec</w:t>
            </w:r>
            <w:proofErr w:type="spellEnd"/>
            <w:r w:rsidRPr="00E75705">
              <w:rPr>
                <w:rFonts w:eastAsia="Calibri" w:cs="Calibri"/>
                <w:b w:val="0"/>
                <w:bCs w:val="0"/>
              </w:rPr>
              <w:t>/</w:t>
            </w:r>
            <w:proofErr w:type="spellStart"/>
            <w:r w:rsidRPr="00E75705">
              <w:rPr>
                <w:rFonts w:eastAsia="Calibri" w:cs="Calibri"/>
                <w:b w:val="0"/>
                <w:bCs w:val="0"/>
              </w:rPr>
              <w:t>Amortiz</w:t>
            </w:r>
            <w:proofErr w:type="spellEnd"/>
          </w:p>
        </w:tc>
        <w:tc>
          <w:tcPr>
            <w:tcW w:w="1726" w:type="dxa"/>
          </w:tcPr>
          <w:p w14:paraId="02ADD2E5"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-19.623.410,17</w:t>
            </w:r>
          </w:p>
        </w:tc>
        <w:tc>
          <w:tcPr>
            <w:tcW w:w="1725" w:type="dxa"/>
          </w:tcPr>
          <w:p w14:paraId="61804047"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-14.149.356,91</w:t>
            </w:r>
          </w:p>
        </w:tc>
        <w:tc>
          <w:tcPr>
            <w:tcW w:w="1034" w:type="dxa"/>
          </w:tcPr>
          <w:p w14:paraId="102EE0A1"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38,68</w:t>
            </w:r>
          </w:p>
        </w:tc>
      </w:tr>
      <w:tr w:rsidR="00F65091" w14:paraId="346A41AE"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4" w:type="dxa"/>
          </w:tcPr>
          <w:p w14:paraId="604BAE4E" w14:textId="77777777" w:rsidR="00F65091" w:rsidRPr="00E75705" w:rsidRDefault="00716C2D" w:rsidP="002B0A00">
            <w:pPr>
              <w:spacing w:after="0" w:line="360" w:lineRule="auto"/>
              <w:rPr>
                <w:rFonts w:ascii="Calibri" w:eastAsia="Calibri" w:hAnsi="Calibri" w:cs="Calibri"/>
              </w:rPr>
            </w:pPr>
            <w:r w:rsidRPr="00E75705">
              <w:rPr>
                <w:rFonts w:eastAsia="Calibri" w:cs="Calibri"/>
              </w:rPr>
              <w:t>Bens imóveis</w:t>
            </w:r>
          </w:p>
        </w:tc>
        <w:tc>
          <w:tcPr>
            <w:tcW w:w="1726" w:type="dxa"/>
          </w:tcPr>
          <w:p w14:paraId="526ACAF7"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69.086.167,15</w:t>
            </w:r>
          </w:p>
        </w:tc>
        <w:tc>
          <w:tcPr>
            <w:tcW w:w="1725" w:type="dxa"/>
          </w:tcPr>
          <w:p w14:paraId="65F93D65"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68.793.480,93</w:t>
            </w:r>
          </w:p>
        </w:tc>
        <w:tc>
          <w:tcPr>
            <w:tcW w:w="1034" w:type="dxa"/>
          </w:tcPr>
          <w:p w14:paraId="25B53977"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0,425</w:t>
            </w:r>
          </w:p>
        </w:tc>
      </w:tr>
      <w:tr w:rsidR="00F65091" w14:paraId="28C6AF65"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4" w:type="dxa"/>
          </w:tcPr>
          <w:p w14:paraId="6B667392" w14:textId="77777777" w:rsidR="00F65091" w:rsidRPr="00E75705" w:rsidRDefault="00716C2D" w:rsidP="002B0A00">
            <w:pPr>
              <w:spacing w:after="0" w:line="360" w:lineRule="auto"/>
              <w:rPr>
                <w:rFonts w:ascii="Calibri" w:eastAsia="Calibri" w:hAnsi="Calibri" w:cs="Calibri"/>
                <w:b w:val="0"/>
                <w:bCs w:val="0"/>
              </w:rPr>
            </w:pPr>
            <w:r w:rsidRPr="00E75705">
              <w:rPr>
                <w:rFonts w:eastAsia="Calibri" w:cs="Calibri"/>
                <w:b w:val="0"/>
                <w:bCs w:val="0"/>
              </w:rPr>
              <w:t>(+) Valor Bruto Contábil</w:t>
            </w:r>
          </w:p>
        </w:tc>
        <w:tc>
          <w:tcPr>
            <w:tcW w:w="1726" w:type="dxa"/>
          </w:tcPr>
          <w:p w14:paraId="546C8D31"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69.121.060,38</w:t>
            </w:r>
          </w:p>
        </w:tc>
        <w:tc>
          <w:tcPr>
            <w:tcW w:w="1725" w:type="dxa"/>
          </w:tcPr>
          <w:p w14:paraId="63717308"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69.881.285,03</w:t>
            </w:r>
          </w:p>
        </w:tc>
        <w:tc>
          <w:tcPr>
            <w:tcW w:w="1034" w:type="dxa"/>
          </w:tcPr>
          <w:p w14:paraId="1256D8C5" w14:textId="77777777" w:rsidR="00F65091" w:rsidRPr="00E75705" w:rsidRDefault="00716C2D">
            <w:pPr>
              <w:spacing w:after="0"/>
              <w:jc w:val="center"/>
              <w:cnfStyle w:val="000000000000" w:firstRow="0" w:lastRow="0" w:firstColumn="0" w:lastColumn="0" w:oddVBand="0" w:evenVBand="0" w:oddHBand="0" w:evenHBand="0" w:firstRowFirstColumn="0" w:firstRowLastColumn="0" w:lastRowFirstColumn="0" w:lastRowLastColumn="0"/>
            </w:pPr>
            <w:r w:rsidRPr="00E75705">
              <w:rPr>
                <w:rFonts w:eastAsia="Calibri" w:cs="Calibri"/>
              </w:rPr>
              <w:t>-1,08</w:t>
            </w:r>
          </w:p>
        </w:tc>
      </w:tr>
      <w:tr w:rsidR="00F65091" w14:paraId="6F02303E"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4" w:type="dxa"/>
          </w:tcPr>
          <w:p w14:paraId="69438783" w14:textId="77777777" w:rsidR="00F65091" w:rsidRPr="00E75705" w:rsidRDefault="00716C2D" w:rsidP="002B0A00">
            <w:pPr>
              <w:spacing w:after="0" w:line="360" w:lineRule="auto"/>
              <w:rPr>
                <w:rFonts w:ascii="Calibri" w:eastAsia="Calibri" w:hAnsi="Calibri" w:cs="Calibri"/>
                <w:b w:val="0"/>
                <w:bCs w:val="0"/>
              </w:rPr>
            </w:pPr>
            <w:r w:rsidRPr="00E75705">
              <w:rPr>
                <w:rFonts w:eastAsia="Calibri" w:cs="Calibri"/>
                <w:b w:val="0"/>
                <w:bCs w:val="0"/>
              </w:rPr>
              <w:t xml:space="preserve">(-) </w:t>
            </w:r>
            <w:proofErr w:type="spellStart"/>
            <w:r w:rsidRPr="00E75705">
              <w:rPr>
                <w:rFonts w:eastAsia="Calibri" w:cs="Calibri"/>
                <w:b w:val="0"/>
                <w:bCs w:val="0"/>
              </w:rPr>
              <w:t>Deprec</w:t>
            </w:r>
            <w:proofErr w:type="spellEnd"/>
            <w:r w:rsidRPr="00E75705">
              <w:rPr>
                <w:rFonts w:eastAsia="Calibri" w:cs="Calibri"/>
                <w:b w:val="0"/>
                <w:bCs w:val="0"/>
              </w:rPr>
              <w:t>/</w:t>
            </w:r>
            <w:proofErr w:type="spellStart"/>
            <w:r w:rsidRPr="00E75705">
              <w:rPr>
                <w:rFonts w:eastAsia="Calibri" w:cs="Calibri"/>
                <w:b w:val="0"/>
                <w:bCs w:val="0"/>
              </w:rPr>
              <w:t>Amortiz</w:t>
            </w:r>
            <w:proofErr w:type="spellEnd"/>
          </w:p>
        </w:tc>
        <w:tc>
          <w:tcPr>
            <w:tcW w:w="1726" w:type="dxa"/>
          </w:tcPr>
          <w:p w14:paraId="5EB293EA"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-34.893,23</w:t>
            </w:r>
          </w:p>
        </w:tc>
        <w:tc>
          <w:tcPr>
            <w:tcW w:w="1725" w:type="dxa"/>
          </w:tcPr>
          <w:p w14:paraId="03E1645C"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-1,087.804,10</w:t>
            </w:r>
          </w:p>
        </w:tc>
        <w:tc>
          <w:tcPr>
            <w:tcW w:w="1034" w:type="dxa"/>
          </w:tcPr>
          <w:p w14:paraId="78D3C38F" w14:textId="77777777" w:rsidR="00F65091" w:rsidRPr="00E75705" w:rsidRDefault="00716C2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rPr>
              <w:t>-96,79</w:t>
            </w:r>
          </w:p>
        </w:tc>
      </w:tr>
      <w:tr w:rsidR="00F65091" w14:paraId="509A036B"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014" w:type="dxa"/>
          </w:tcPr>
          <w:p w14:paraId="4201BEEC" w14:textId="77777777" w:rsidR="00F65091" w:rsidRPr="00E75705" w:rsidRDefault="00716C2D" w:rsidP="002B0A00">
            <w:pPr>
              <w:spacing w:after="0" w:line="360" w:lineRule="auto"/>
              <w:rPr>
                <w:rFonts w:ascii="Calibri" w:eastAsia="Calibri" w:hAnsi="Calibri" w:cs="Calibri"/>
              </w:rPr>
            </w:pPr>
            <w:r w:rsidRPr="00E75705">
              <w:rPr>
                <w:rFonts w:eastAsia="Calibri" w:cs="Calibri"/>
              </w:rPr>
              <w:t xml:space="preserve">Total </w:t>
            </w:r>
          </w:p>
        </w:tc>
        <w:tc>
          <w:tcPr>
            <w:tcW w:w="1726" w:type="dxa"/>
          </w:tcPr>
          <w:p w14:paraId="58063C13" w14:textId="77777777" w:rsidR="00F65091" w:rsidRPr="002A5EF9" w:rsidRDefault="00716C2D">
            <w:pPr>
              <w:spacing w:after="0"/>
              <w:jc w:val="center"/>
              <w:cnfStyle w:val="000000000000" w:firstRow="0" w:lastRow="0" w:firstColumn="0" w:lastColumn="0" w:oddVBand="0" w:evenVBand="0" w:oddHBand="0" w:evenHBand="0" w:firstRowFirstColumn="0" w:firstRowLastColumn="0" w:lastRowFirstColumn="0" w:lastRowLastColumn="0"/>
              <w:rPr>
                <w:b/>
                <w:bCs/>
              </w:rPr>
            </w:pPr>
            <w:r w:rsidRPr="002A5EF9">
              <w:rPr>
                <w:rFonts w:eastAsia="Calibri" w:cs="Calibri"/>
                <w:b/>
                <w:bCs/>
              </w:rPr>
              <w:t>95.013.091,86</w:t>
            </w:r>
          </w:p>
        </w:tc>
        <w:tc>
          <w:tcPr>
            <w:tcW w:w="1725" w:type="dxa"/>
          </w:tcPr>
          <w:p w14:paraId="023B84AA" w14:textId="77777777" w:rsidR="00F65091" w:rsidRPr="002A5EF9" w:rsidRDefault="00716C2D">
            <w:pPr>
              <w:spacing w:after="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2A5EF9">
              <w:rPr>
                <w:rFonts w:eastAsia="Calibri" w:cs="Calibri"/>
                <w:b/>
                <w:bCs/>
              </w:rPr>
              <w:t>87.166.020,54</w:t>
            </w:r>
          </w:p>
        </w:tc>
        <w:tc>
          <w:tcPr>
            <w:tcW w:w="1034" w:type="dxa"/>
          </w:tcPr>
          <w:p w14:paraId="405D267B" w14:textId="77777777" w:rsidR="00F65091" w:rsidRPr="00E75705" w:rsidRDefault="00F6509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bl>
    <w:p w14:paraId="3F81FC55" w14:textId="06579F54" w:rsidR="00F65091" w:rsidRDefault="00E75705" w:rsidP="00082143">
      <w:pPr>
        <w:ind w:left="708" w:firstLine="708"/>
        <w:jc w:val="both"/>
        <w:rPr>
          <w:rFonts w:ascii="Calibri" w:eastAsia="Calibri" w:hAnsi="Calibri" w:cs="Calibri"/>
        </w:rPr>
      </w:pPr>
      <w:r>
        <w:rPr>
          <w:rFonts w:eastAsia="Calibri" w:cs="Calibri"/>
          <w:sz w:val="18"/>
          <w:szCs w:val="18"/>
        </w:rPr>
        <w:t>Fonte: SIAFI</w:t>
      </w:r>
    </w:p>
    <w:p w14:paraId="38C349B3" w14:textId="77777777" w:rsidR="00166DF2" w:rsidRDefault="00166DF2">
      <w:pPr>
        <w:jc w:val="both"/>
        <w:rPr>
          <w:rFonts w:eastAsia="Calibri" w:cs="Calibri"/>
          <w:b/>
          <w:bCs/>
        </w:rPr>
      </w:pPr>
    </w:p>
    <w:p w14:paraId="78BA2842" w14:textId="4936074F" w:rsidR="00F65091" w:rsidRDefault="00716C2D">
      <w:pPr>
        <w:jc w:val="both"/>
        <w:rPr>
          <w:rFonts w:ascii="Calibri" w:eastAsia="Calibri" w:hAnsi="Calibri" w:cs="Calibri"/>
          <w:b/>
          <w:bCs/>
          <w:color w:val="FF0000"/>
        </w:rPr>
      </w:pPr>
      <w:r>
        <w:rPr>
          <w:rFonts w:eastAsia="Calibri" w:cs="Calibri"/>
          <w:b/>
          <w:bCs/>
        </w:rPr>
        <w:t>Bens Móveis</w:t>
      </w:r>
    </w:p>
    <w:p w14:paraId="1929208C" w14:textId="30A60680" w:rsidR="00A45388" w:rsidRDefault="00716C2D" w:rsidP="00A45388">
      <w:pPr>
        <w:jc w:val="both"/>
        <w:rPr>
          <w:rFonts w:eastAsia="Calibri" w:cs="Calibri"/>
        </w:rPr>
      </w:pPr>
      <w:r>
        <w:rPr>
          <w:rFonts w:eastAsia="Calibri" w:cs="Calibri"/>
        </w:rPr>
        <w:t>No final do exercício financeiro de 2022, os Bens Móveis do TRE/ES totalizavam R$ 25.296.924,71,</w:t>
      </w:r>
      <w:r w:rsidR="00F069C3">
        <w:rPr>
          <w:rFonts w:eastAsia="Calibri" w:cs="Calibri"/>
        </w:rPr>
        <w:t xml:space="preserve"> já deduzid</w:t>
      </w:r>
      <w:r w:rsidR="006726D4">
        <w:rPr>
          <w:rFonts w:eastAsia="Calibri" w:cs="Calibri"/>
        </w:rPr>
        <w:t>o a depreciação acumulada,</w:t>
      </w:r>
      <w:r>
        <w:rPr>
          <w:rFonts w:eastAsia="Calibri" w:cs="Calibri"/>
        </w:rPr>
        <w:t xml:space="preserve"> distribuídos conforme demonstrado na tabela a seguir:</w:t>
      </w:r>
    </w:p>
    <w:p w14:paraId="6B3E4340" w14:textId="3FC28859" w:rsidR="00F65091" w:rsidRDefault="004A2A17" w:rsidP="00A45388">
      <w:pPr>
        <w:jc w:val="center"/>
        <w:rPr>
          <w:rFonts w:eastAsia="Calibri" w:cs="Calibri"/>
          <w:b/>
          <w:bCs/>
        </w:rPr>
      </w:pPr>
      <w:r w:rsidRPr="00A45388">
        <w:rPr>
          <w:rFonts w:eastAsia="Calibri" w:cs="Calibri"/>
          <w:b/>
          <w:bCs/>
        </w:rPr>
        <w:t>Tabela 04 – Bens Móveis R$</w:t>
      </w:r>
    </w:p>
    <w:tbl>
      <w:tblPr>
        <w:tblStyle w:val="ListaColorida-nfase6"/>
        <w:tblW w:w="8251" w:type="dxa"/>
        <w:tblInd w:w="842" w:type="dxa"/>
        <w:tblLayout w:type="fixed"/>
        <w:tblLook w:val="0680" w:firstRow="0" w:lastRow="0" w:firstColumn="1" w:lastColumn="0" w:noHBand="1" w:noVBand="1"/>
      </w:tblPr>
      <w:tblGrid>
        <w:gridCol w:w="3766"/>
        <w:gridCol w:w="1726"/>
        <w:gridCol w:w="1725"/>
        <w:gridCol w:w="1034"/>
      </w:tblGrid>
      <w:tr w:rsidR="00FA580A" w14:paraId="469E8DFE"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39ADAF64" w14:textId="1F748B04" w:rsidR="00FA580A" w:rsidRPr="00E75705" w:rsidRDefault="00FA580A" w:rsidP="00684B03">
            <w:pPr>
              <w:spacing w:after="0" w:line="360" w:lineRule="auto"/>
              <w:rPr>
                <w:rFonts w:ascii="Calibri" w:eastAsia="Calibri" w:hAnsi="Calibri" w:cs="Calibri"/>
              </w:rPr>
            </w:pPr>
            <w:r>
              <w:rPr>
                <w:rFonts w:eastAsia="Calibri" w:cs="Calibri"/>
              </w:rPr>
              <w:t>Bens Móveis</w:t>
            </w:r>
          </w:p>
        </w:tc>
        <w:tc>
          <w:tcPr>
            <w:tcW w:w="1726" w:type="dxa"/>
          </w:tcPr>
          <w:p w14:paraId="572E67E4" w14:textId="77777777"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31/12/2022</w:t>
            </w:r>
          </w:p>
        </w:tc>
        <w:tc>
          <w:tcPr>
            <w:tcW w:w="1725" w:type="dxa"/>
          </w:tcPr>
          <w:p w14:paraId="2A548A7E" w14:textId="77777777"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31/12/2021</w:t>
            </w:r>
          </w:p>
        </w:tc>
        <w:tc>
          <w:tcPr>
            <w:tcW w:w="1034" w:type="dxa"/>
          </w:tcPr>
          <w:p w14:paraId="0851D67F" w14:textId="43FAAF47"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A</w:t>
            </w:r>
            <w:r w:rsidR="00251E84">
              <w:rPr>
                <w:rFonts w:eastAsia="Calibri" w:cs="Calibri"/>
                <w:b/>
                <w:bCs/>
              </w:rPr>
              <w:t>H</w:t>
            </w:r>
            <w:r w:rsidRPr="00E75705">
              <w:rPr>
                <w:rFonts w:eastAsia="Calibri" w:cs="Calibri"/>
                <w:b/>
                <w:bCs/>
              </w:rPr>
              <w:t xml:space="preserve"> %</w:t>
            </w:r>
          </w:p>
        </w:tc>
      </w:tr>
      <w:tr w:rsidR="00FA580A" w14:paraId="11BEEDE8"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4BBA2A88" w14:textId="45353042" w:rsidR="00FA580A" w:rsidRPr="00FA580A" w:rsidRDefault="00FA580A" w:rsidP="00684B03">
            <w:pPr>
              <w:spacing w:after="0" w:line="360" w:lineRule="auto"/>
              <w:rPr>
                <w:rFonts w:ascii="Calibri" w:eastAsia="Calibri" w:hAnsi="Calibri" w:cs="Calibri"/>
                <w:b w:val="0"/>
              </w:rPr>
            </w:pPr>
            <w:proofErr w:type="spellStart"/>
            <w:r w:rsidRPr="00FA580A">
              <w:rPr>
                <w:rFonts w:eastAsia="Calibri" w:cs="Calibri"/>
                <w:b w:val="0"/>
                <w:szCs w:val="24"/>
              </w:rPr>
              <w:t>Máqu</w:t>
            </w:r>
            <w:proofErr w:type="spellEnd"/>
            <w:r w:rsidRPr="00FA580A">
              <w:rPr>
                <w:rFonts w:eastAsia="Calibri" w:cs="Calibri"/>
                <w:b w:val="0"/>
                <w:szCs w:val="24"/>
              </w:rPr>
              <w:t xml:space="preserve">, aparelhos, </w:t>
            </w:r>
            <w:proofErr w:type="spellStart"/>
            <w:r w:rsidRPr="00FA580A">
              <w:rPr>
                <w:rFonts w:eastAsia="Calibri" w:cs="Calibri"/>
                <w:b w:val="0"/>
                <w:szCs w:val="24"/>
              </w:rPr>
              <w:t>equip</w:t>
            </w:r>
            <w:proofErr w:type="spellEnd"/>
            <w:r w:rsidRPr="00FA580A">
              <w:rPr>
                <w:rFonts w:eastAsia="Calibri" w:cs="Calibri"/>
                <w:b w:val="0"/>
                <w:szCs w:val="24"/>
              </w:rPr>
              <w:t xml:space="preserve"> e ferramentas</w:t>
            </w:r>
          </w:p>
        </w:tc>
        <w:tc>
          <w:tcPr>
            <w:tcW w:w="1726" w:type="dxa"/>
          </w:tcPr>
          <w:p w14:paraId="3FFE7467" w14:textId="24DDA282"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szCs w:val="24"/>
              </w:rPr>
              <w:t>1.217.620,88</w:t>
            </w:r>
          </w:p>
        </w:tc>
        <w:tc>
          <w:tcPr>
            <w:tcW w:w="1725" w:type="dxa"/>
          </w:tcPr>
          <w:p w14:paraId="1FC47AD2" w14:textId="3163E3DC"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szCs w:val="24"/>
              </w:rPr>
              <w:t>1.081.178,41</w:t>
            </w:r>
          </w:p>
        </w:tc>
        <w:tc>
          <w:tcPr>
            <w:tcW w:w="1034" w:type="dxa"/>
          </w:tcPr>
          <w:p w14:paraId="4FA8973D" w14:textId="29946121"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szCs w:val="24"/>
              </w:rPr>
              <w:t>12,62</w:t>
            </w:r>
          </w:p>
        </w:tc>
      </w:tr>
      <w:tr w:rsidR="00FA580A" w14:paraId="57D9C4E7"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64B9A297" w14:textId="6467CB2F" w:rsidR="00FA580A" w:rsidRPr="00FA580A" w:rsidRDefault="00FA580A" w:rsidP="00684B03">
            <w:pPr>
              <w:spacing w:after="0" w:line="360" w:lineRule="auto"/>
              <w:rPr>
                <w:rFonts w:ascii="Calibri" w:eastAsia="Calibri" w:hAnsi="Calibri" w:cs="Calibri"/>
                <w:b w:val="0"/>
              </w:rPr>
            </w:pPr>
            <w:r w:rsidRPr="00FA580A">
              <w:rPr>
                <w:rFonts w:eastAsia="Calibri" w:cs="Calibri"/>
                <w:b w:val="0"/>
                <w:szCs w:val="24"/>
              </w:rPr>
              <w:t>Bens de Informática</w:t>
            </w:r>
          </w:p>
        </w:tc>
        <w:tc>
          <w:tcPr>
            <w:tcW w:w="1726" w:type="dxa"/>
          </w:tcPr>
          <w:p w14:paraId="409F555E" w14:textId="514B91EB"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pPr>
            <w:r w:rsidRPr="00E75705">
              <w:rPr>
                <w:rFonts w:eastAsia="Calibri" w:cs="Calibri"/>
                <w:szCs w:val="24"/>
              </w:rPr>
              <w:t>37.349.914,59</w:t>
            </w:r>
          </w:p>
        </w:tc>
        <w:tc>
          <w:tcPr>
            <w:tcW w:w="1725" w:type="dxa"/>
          </w:tcPr>
          <w:p w14:paraId="3B9AE12C" w14:textId="6E97CB13"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22.981.144,62</w:t>
            </w:r>
          </w:p>
        </w:tc>
        <w:tc>
          <w:tcPr>
            <w:tcW w:w="1034" w:type="dxa"/>
          </w:tcPr>
          <w:p w14:paraId="3FBD2FA6" w14:textId="2491DB82"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62,52</w:t>
            </w:r>
          </w:p>
        </w:tc>
      </w:tr>
      <w:tr w:rsidR="00FA580A" w14:paraId="5CDB580D"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5863A457" w14:textId="05B30B4A" w:rsidR="00FA580A" w:rsidRPr="00FA580A" w:rsidRDefault="00FA580A" w:rsidP="00684B03">
            <w:pPr>
              <w:spacing w:after="0" w:line="360" w:lineRule="auto"/>
              <w:rPr>
                <w:rFonts w:ascii="Calibri" w:eastAsia="Calibri" w:hAnsi="Calibri" w:cs="Calibri"/>
                <w:b w:val="0"/>
              </w:rPr>
            </w:pPr>
            <w:r w:rsidRPr="00FA580A">
              <w:rPr>
                <w:rFonts w:eastAsia="Calibri" w:cs="Calibri"/>
                <w:b w:val="0"/>
                <w:szCs w:val="24"/>
              </w:rPr>
              <w:t>Móveis e utensílios</w:t>
            </w:r>
          </w:p>
        </w:tc>
        <w:tc>
          <w:tcPr>
            <w:tcW w:w="1726" w:type="dxa"/>
          </w:tcPr>
          <w:p w14:paraId="01A46FF5" w14:textId="57D546F2"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3.914.169,22</w:t>
            </w:r>
          </w:p>
        </w:tc>
        <w:tc>
          <w:tcPr>
            <w:tcW w:w="1725" w:type="dxa"/>
          </w:tcPr>
          <w:p w14:paraId="1C67AF05" w14:textId="6F5C6FA6"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3.756.571,64</w:t>
            </w:r>
          </w:p>
        </w:tc>
        <w:tc>
          <w:tcPr>
            <w:tcW w:w="1034" w:type="dxa"/>
          </w:tcPr>
          <w:p w14:paraId="50B22251" w14:textId="12C6154A"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4,19</w:t>
            </w:r>
          </w:p>
        </w:tc>
      </w:tr>
      <w:tr w:rsidR="00FA580A" w14:paraId="719B01CA"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65CDCBFA" w14:textId="63282621" w:rsidR="00FA580A" w:rsidRPr="00FA580A" w:rsidRDefault="00FA580A" w:rsidP="00684B03">
            <w:pPr>
              <w:spacing w:after="0" w:line="360" w:lineRule="auto"/>
              <w:rPr>
                <w:rFonts w:ascii="Calibri" w:eastAsia="Calibri" w:hAnsi="Calibri" w:cs="Calibri"/>
                <w:b w:val="0"/>
              </w:rPr>
            </w:pPr>
            <w:r w:rsidRPr="00FA580A">
              <w:rPr>
                <w:rFonts w:eastAsia="Calibri" w:cs="Calibri"/>
                <w:b w:val="0"/>
                <w:szCs w:val="24"/>
              </w:rPr>
              <w:t>Mat. Educacional e de Comunicação</w:t>
            </w:r>
          </w:p>
        </w:tc>
        <w:tc>
          <w:tcPr>
            <w:tcW w:w="1726" w:type="dxa"/>
          </w:tcPr>
          <w:p w14:paraId="23172D2F" w14:textId="71753C5A"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szCs w:val="24"/>
              </w:rPr>
              <w:t>941.716,98</w:t>
            </w:r>
          </w:p>
        </w:tc>
        <w:tc>
          <w:tcPr>
            <w:tcW w:w="1725" w:type="dxa"/>
          </w:tcPr>
          <w:p w14:paraId="4B2D251D" w14:textId="46AB8707"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szCs w:val="24"/>
              </w:rPr>
              <w:t>706.565,88</w:t>
            </w:r>
          </w:p>
        </w:tc>
        <w:tc>
          <w:tcPr>
            <w:tcW w:w="1034" w:type="dxa"/>
          </w:tcPr>
          <w:p w14:paraId="1DF5967D" w14:textId="58E31FEB"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szCs w:val="24"/>
              </w:rPr>
              <w:t>33,28</w:t>
            </w:r>
          </w:p>
        </w:tc>
      </w:tr>
      <w:tr w:rsidR="00FA580A" w14:paraId="5FC93241"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62A08E0E" w14:textId="0014D5D9" w:rsidR="00FA580A" w:rsidRPr="00FA580A" w:rsidRDefault="00FA580A" w:rsidP="00684B03">
            <w:pPr>
              <w:spacing w:after="0" w:line="360" w:lineRule="auto"/>
              <w:rPr>
                <w:rFonts w:ascii="Calibri" w:eastAsia="Calibri" w:hAnsi="Calibri" w:cs="Calibri"/>
                <w:b w:val="0"/>
              </w:rPr>
            </w:pPr>
            <w:r w:rsidRPr="00FA580A">
              <w:rPr>
                <w:rFonts w:eastAsia="Calibri" w:cs="Calibri"/>
                <w:b w:val="0"/>
                <w:szCs w:val="24"/>
              </w:rPr>
              <w:t>Veículos</w:t>
            </w:r>
          </w:p>
        </w:tc>
        <w:tc>
          <w:tcPr>
            <w:tcW w:w="1726" w:type="dxa"/>
          </w:tcPr>
          <w:p w14:paraId="447689AD" w14:textId="0E32D4B6"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1.904.814,65</w:t>
            </w:r>
          </w:p>
        </w:tc>
        <w:tc>
          <w:tcPr>
            <w:tcW w:w="1725" w:type="dxa"/>
          </w:tcPr>
          <w:p w14:paraId="128C7C7B" w14:textId="40E31831"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1.904.814,65</w:t>
            </w:r>
          </w:p>
        </w:tc>
        <w:tc>
          <w:tcPr>
            <w:tcW w:w="1034" w:type="dxa"/>
          </w:tcPr>
          <w:p w14:paraId="32902ADD" w14:textId="73626EC6"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pPr>
            <w:r w:rsidRPr="00E75705">
              <w:rPr>
                <w:rFonts w:eastAsia="Calibri" w:cs="Calibri"/>
                <w:szCs w:val="24"/>
              </w:rPr>
              <w:t>-</w:t>
            </w:r>
          </w:p>
        </w:tc>
      </w:tr>
      <w:tr w:rsidR="00FA580A" w14:paraId="4124D39A"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4499DCE0" w14:textId="735F71DF" w:rsidR="00FA580A" w:rsidRPr="00FA580A" w:rsidRDefault="00FA580A" w:rsidP="00684B03">
            <w:pPr>
              <w:spacing w:after="0" w:line="360" w:lineRule="auto"/>
              <w:rPr>
                <w:rFonts w:ascii="Calibri" w:eastAsia="Calibri" w:hAnsi="Calibri" w:cs="Calibri"/>
                <w:b w:val="0"/>
              </w:rPr>
            </w:pPr>
            <w:r w:rsidRPr="00FA580A">
              <w:rPr>
                <w:rFonts w:eastAsia="Calibri" w:cs="Calibri"/>
                <w:b w:val="0"/>
                <w:szCs w:val="24"/>
              </w:rPr>
              <w:t>Demais Bens Móveis</w:t>
            </w:r>
          </w:p>
        </w:tc>
        <w:tc>
          <w:tcPr>
            <w:tcW w:w="1726" w:type="dxa"/>
          </w:tcPr>
          <w:p w14:paraId="5DBB617A" w14:textId="3B6719C3"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222.098,56</w:t>
            </w:r>
          </w:p>
        </w:tc>
        <w:tc>
          <w:tcPr>
            <w:tcW w:w="1725" w:type="dxa"/>
          </w:tcPr>
          <w:p w14:paraId="789778EE" w14:textId="1E07CC77"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206.049,32</w:t>
            </w:r>
          </w:p>
        </w:tc>
        <w:tc>
          <w:tcPr>
            <w:tcW w:w="1034" w:type="dxa"/>
          </w:tcPr>
          <w:p w14:paraId="66074D14" w14:textId="0B5D9510" w:rsidR="00FA580A" w:rsidRPr="00E75705" w:rsidRDefault="00FA580A" w:rsidP="00684B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5705">
              <w:rPr>
                <w:rFonts w:eastAsia="Calibri" w:cs="Calibri"/>
                <w:szCs w:val="24"/>
              </w:rPr>
              <w:t>7,79</w:t>
            </w:r>
          </w:p>
        </w:tc>
      </w:tr>
      <w:tr w:rsidR="006726D4" w14:paraId="78246486"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2E00DA12" w14:textId="0433E05E" w:rsidR="006726D4" w:rsidRPr="00FA580A" w:rsidRDefault="006726D4" w:rsidP="006726D4">
            <w:pPr>
              <w:spacing w:after="0" w:line="360" w:lineRule="auto"/>
              <w:rPr>
                <w:rFonts w:eastAsia="Calibri" w:cs="Calibri"/>
                <w:szCs w:val="24"/>
              </w:rPr>
            </w:pPr>
            <w:r w:rsidRPr="00E75705">
              <w:rPr>
                <w:rFonts w:eastAsia="Calibri" w:cs="Calibri"/>
                <w:b w:val="0"/>
                <w:bCs w:val="0"/>
              </w:rPr>
              <w:t xml:space="preserve">(-) </w:t>
            </w:r>
            <w:proofErr w:type="spellStart"/>
            <w:r w:rsidRPr="00E75705">
              <w:rPr>
                <w:rFonts w:eastAsia="Calibri" w:cs="Calibri"/>
                <w:b w:val="0"/>
                <w:bCs w:val="0"/>
              </w:rPr>
              <w:t>Deprec</w:t>
            </w:r>
            <w:proofErr w:type="spellEnd"/>
            <w:r w:rsidRPr="00E75705">
              <w:rPr>
                <w:rFonts w:eastAsia="Calibri" w:cs="Calibri"/>
                <w:b w:val="0"/>
                <w:bCs w:val="0"/>
              </w:rPr>
              <w:t>/</w:t>
            </w:r>
            <w:proofErr w:type="spellStart"/>
            <w:r w:rsidRPr="00E75705">
              <w:rPr>
                <w:rFonts w:eastAsia="Calibri" w:cs="Calibri"/>
                <w:b w:val="0"/>
                <w:bCs w:val="0"/>
              </w:rPr>
              <w:t>Amortiz</w:t>
            </w:r>
            <w:proofErr w:type="spellEnd"/>
          </w:p>
        </w:tc>
        <w:tc>
          <w:tcPr>
            <w:tcW w:w="1726" w:type="dxa"/>
          </w:tcPr>
          <w:p w14:paraId="71BAB5FC" w14:textId="553333D0" w:rsidR="006726D4" w:rsidRPr="00E75705" w:rsidRDefault="006726D4" w:rsidP="006726D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szCs w:val="24"/>
              </w:rPr>
            </w:pPr>
            <w:r w:rsidRPr="00E75705">
              <w:rPr>
                <w:rFonts w:eastAsia="Calibri" w:cs="Calibri"/>
              </w:rPr>
              <w:t>-19.623.410,17</w:t>
            </w:r>
          </w:p>
        </w:tc>
        <w:tc>
          <w:tcPr>
            <w:tcW w:w="1725" w:type="dxa"/>
          </w:tcPr>
          <w:p w14:paraId="22E46F66" w14:textId="28579F36" w:rsidR="006726D4" w:rsidRPr="00E75705" w:rsidRDefault="006726D4" w:rsidP="006726D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szCs w:val="24"/>
              </w:rPr>
            </w:pPr>
            <w:r w:rsidRPr="00E75705">
              <w:rPr>
                <w:rFonts w:eastAsia="Calibri" w:cs="Calibri"/>
              </w:rPr>
              <w:t>-14.149.356,91</w:t>
            </w:r>
          </w:p>
        </w:tc>
        <w:tc>
          <w:tcPr>
            <w:tcW w:w="1034" w:type="dxa"/>
          </w:tcPr>
          <w:p w14:paraId="3092506E" w14:textId="3CF0D7C5" w:rsidR="006726D4" w:rsidRPr="00E75705" w:rsidRDefault="00FA411F" w:rsidP="006726D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szCs w:val="24"/>
              </w:rPr>
            </w:pPr>
            <w:r>
              <w:rPr>
                <w:rFonts w:eastAsia="Calibri" w:cs="Calibri"/>
                <w:szCs w:val="24"/>
              </w:rPr>
              <w:t>38,68</w:t>
            </w:r>
          </w:p>
        </w:tc>
      </w:tr>
      <w:tr w:rsidR="00652AC2" w14:paraId="74274AB6" w14:textId="77777777" w:rsidTr="00082143">
        <w:trPr>
          <w:trHeight w:val="300"/>
        </w:trPr>
        <w:tc>
          <w:tcPr>
            <w:cnfStyle w:val="001000000000" w:firstRow="0" w:lastRow="0" w:firstColumn="1" w:lastColumn="0" w:oddVBand="0" w:evenVBand="0" w:oddHBand="0" w:evenHBand="0" w:firstRowFirstColumn="0" w:firstRowLastColumn="0" w:lastRowFirstColumn="0" w:lastRowLastColumn="0"/>
            <w:tcW w:w="3766" w:type="dxa"/>
          </w:tcPr>
          <w:p w14:paraId="5BB33D43" w14:textId="797D70EE" w:rsidR="00652AC2" w:rsidRPr="00FA580A" w:rsidRDefault="00652AC2" w:rsidP="00652AC2">
            <w:pPr>
              <w:spacing w:after="0" w:line="360" w:lineRule="auto"/>
              <w:rPr>
                <w:rFonts w:eastAsia="Calibri" w:cs="Calibri"/>
                <w:szCs w:val="24"/>
              </w:rPr>
            </w:pPr>
            <w:r>
              <w:rPr>
                <w:rFonts w:eastAsia="Calibri" w:cs="Calibri"/>
                <w:szCs w:val="24"/>
              </w:rPr>
              <w:t>Total</w:t>
            </w:r>
          </w:p>
        </w:tc>
        <w:tc>
          <w:tcPr>
            <w:tcW w:w="1726" w:type="dxa"/>
          </w:tcPr>
          <w:p w14:paraId="06421DE4" w14:textId="57830BDE" w:rsidR="00652AC2" w:rsidRPr="00251E84" w:rsidRDefault="00652AC2" w:rsidP="00652AC2">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b/>
                <w:bCs/>
                <w:szCs w:val="24"/>
              </w:rPr>
            </w:pPr>
            <w:r w:rsidRPr="00E75705">
              <w:rPr>
                <w:rFonts w:eastAsia="Calibri" w:cs="Calibri"/>
                <w:b/>
                <w:bCs/>
              </w:rPr>
              <w:t>25.926.924,71</w:t>
            </w:r>
          </w:p>
        </w:tc>
        <w:tc>
          <w:tcPr>
            <w:tcW w:w="1725" w:type="dxa"/>
          </w:tcPr>
          <w:p w14:paraId="3181728B" w14:textId="596B305E" w:rsidR="00652AC2" w:rsidRPr="00251E84" w:rsidRDefault="00652AC2" w:rsidP="00652AC2">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b/>
                <w:bCs/>
                <w:szCs w:val="24"/>
              </w:rPr>
            </w:pPr>
            <w:r w:rsidRPr="00E75705">
              <w:rPr>
                <w:rFonts w:eastAsia="Calibri" w:cs="Calibri"/>
                <w:b/>
                <w:bCs/>
              </w:rPr>
              <w:t>18.372.539,61</w:t>
            </w:r>
          </w:p>
        </w:tc>
        <w:tc>
          <w:tcPr>
            <w:tcW w:w="1034" w:type="dxa"/>
          </w:tcPr>
          <w:p w14:paraId="4E14199C" w14:textId="3E458FB3" w:rsidR="00652AC2" w:rsidRPr="00251E84" w:rsidRDefault="00FA411F" w:rsidP="00652AC2">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b/>
                <w:bCs/>
                <w:szCs w:val="24"/>
              </w:rPr>
            </w:pPr>
            <w:r>
              <w:rPr>
                <w:rFonts w:eastAsia="Calibri" w:cs="Calibri"/>
                <w:b/>
                <w:bCs/>
                <w:szCs w:val="24"/>
              </w:rPr>
              <w:t>41,17</w:t>
            </w:r>
          </w:p>
        </w:tc>
      </w:tr>
    </w:tbl>
    <w:p w14:paraId="3D3C48D8" w14:textId="2136F893" w:rsidR="00F65091" w:rsidRDefault="00082143" w:rsidP="00082143">
      <w:pPr>
        <w:ind w:firstLine="708"/>
        <w:rPr>
          <w:rFonts w:ascii="Calibri" w:eastAsia="Calibri" w:hAnsi="Calibri" w:cs="Calibri"/>
          <w:sz w:val="18"/>
          <w:szCs w:val="18"/>
        </w:rPr>
      </w:pPr>
      <w:r>
        <w:rPr>
          <w:rFonts w:eastAsia="Calibri" w:cs="Calibri"/>
          <w:sz w:val="18"/>
          <w:szCs w:val="18"/>
        </w:rPr>
        <w:lastRenderedPageBreak/>
        <w:t xml:space="preserve">     </w:t>
      </w:r>
      <w:r w:rsidR="00716C2D">
        <w:rPr>
          <w:rFonts w:eastAsia="Calibri" w:cs="Calibri"/>
          <w:sz w:val="18"/>
          <w:szCs w:val="18"/>
        </w:rPr>
        <w:t>Fonte: SIAFI</w:t>
      </w:r>
    </w:p>
    <w:p w14:paraId="4CC34B2D" w14:textId="65A27449" w:rsidR="00F65091" w:rsidRDefault="00716C2D" w:rsidP="00E27CB7">
      <w:pPr>
        <w:spacing w:line="276" w:lineRule="auto"/>
        <w:jc w:val="both"/>
        <w:rPr>
          <w:rFonts w:ascii="Calibri" w:eastAsia="Calibri" w:hAnsi="Calibri" w:cs="Calibri"/>
        </w:rPr>
      </w:pPr>
      <w:r>
        <w:rPr>
          <w:rFonts w:eastAsia="Calibri" w:cs="Calibri"/>
        </w:rPr>
        <w:t xml:space="preserve">Do montante de quase 45,6 milhões, as contas que apresentarem a maior variação de valores foram “Bens de Informática” e “Materiais Educacionais e de Comunicação”. O aumento de 62,52% dos bens de informática se deve principalmente a aquisição de novos bens para a modernização da infraestrutura deste TRE/ES e </w:t>
      </w:r>
      <w:r w:rsidR="00985F1C">
        <w:rPr>
          <w:rFonts w:eastAsia="Calibri" w:cs="Calibri"/>
        </w:rPr>
        <w:t>para atender ao</w:t>
      </w:r>
      <w:r>
        <w:rPr>
          <w:rFonts w:eastAsia="Calibri" w:cs="Calibri"/>
        </w:rPr>
        <w:t xml:space="preserve"> processo eleitoral. Em relação a conta de </w:t>
      </w:r>
      <w:r w:rsidR="00985F1C">
        <w:rPr>
          <w:rFonts w:eastAsia="Calibri" w:cs="Calibri"/>
        </w:rPr>
        <w:t>“</w:t>
      </w:r>
      <w:r>
        <w:rPr>
          <w:rFonts w:eastAsia="Calibri" w:cs="Calibri"/>
        </w:rPr>
        <w:t>Mat</w:t>
      </w:r>
      <w:r w:rsidR="00985F1C">
        <w:rPr>
          <w:rFonts w:eastAsia="Calibri" w:cs="Calibri"/>
        </w:rPr>
        <w:t>erial</w:t>
      </w:r>
      <w:r>
        <w:rPr>
          <w:rFonts w:eastAsia="Calibri" w:cs="Calibri"/>
        </w:rPr>
        <w:t xml:space="preserve"> Educacional e de Comunicação</w:t>
      </w:r>
      <w:r w:rsidR="00985F1C">
        <w:rPr>
          <w:rFonts w:eastAsia="Calibri" w:cs="Calibri"/>
        </w:rPr>
        <w:t>”</w:t>
      </w:r>
      <w:r>
        <w:rPr>
          <w:rFonts w:eastAsia="Calibri" w:cs="Calibri"/>
        </w:rPr>
        <w:t xml:space="preserve">, a variação de 33,28% </w:t>
      </w:r>
      <w:r w:rsidR="00495293">
        <w:rPr>
          <w:rFonts w:eastAsia="Calibri" w:cs="Calibri"/>
        </w:rPr>
        <w:t>refere-se à</w:t>
      </w:r>
      <w:r>
        <w:rPr>
          <w:rFonts w:eastAsia="Calibri" w:cs="Calibri"/>
        </w:rPr>
        <w:t xml:space="preserve"> aquisição de equipamentos para os testes de integridade das Urnas Eletrônicas.</w:t>
      </w:r>
    </w:p>
    <w:p w14:paraId="69DBFC4A" w14:textId="77777777" w:rsidR="00995582" w:rsidRDefault="00995582">
      <w:pPr>
        <w:rPr>
          <w:rFonts w:ascii="Calibri" w:eastAsia="Calibri" w:hAnsi="Calibri" w:cs="Calibri"/>
        </w:rPr>
      </w:pPr>
    </w:p>
    <w:p w14:paraId="45B5D8BC" w14:textId="77777777" w:rsidR="00F65091" w:rsidRDefault="00716C2D">
      <w:pPr>
        <w:jc w:val="both"/>
        <w:rPr>
          <w:b/>
          <w:bCs/>
        </w:rPr>
      </w:pPr>
      <w:r>
        <w:rPr>
          <w:rFonts w:eastAsia="Calibri" w:cs="Calibri"/>
          <w:b/>
          <w:bCs/>
        </w:rPr>
        <w:t>Bens Imóveis</w:t>
      </w:r>
    </w:p>
    <w:p w14:paraId="6C487C09" w14:textId="32D33F0E" w:rsidR="00F65091" w:rsidRDefault="00716C2D" w:rsidP="00E27CB7">
      <w:pPr>
        <w:spacing w:line="276" w:lineRule="auto"/>
        <w:jc w:val="both"/>
        <w:rPr>
          <w:rFonts w:ascii="Calibri" w:eastAsia="Calibri" w:hAnsi="Calibri" w:cs="Calibri"/>
        </w:rPr>
      </w:pPr>
      <w:r>
        <w:rPr>
          <w:rFonts w:eastAsia="Calibri" w:cs="Calibri"/>
        </w:rPr>
        <w:t>Em relação aos bens imóveis utilizados pela Justiça Eleitoral, estes são de propriedade da União. Sendo assim, o</w:t>
      </w:r>
      <w:r w:rsidR="00C03F47">
        <w:rPr>
          <w:rFonts w:eastAsia="Calibri" w:cs="Calibri"/>
        </w:rPr>
        <w:t>s</w:t>
      </w:r>
      <w:r>
        <w:rPr>
          <w:rFonts w:eastAsia="Calibri" w:cs="Calibri"/>
        </w:rPr>
        <w:t xml:space="preserve"> registro</w:t>
      </w:r>
      <w:r w:rsidR="00C03F47">
        <w:rPr>
          <w:rFonts w:eastAsia="Calibri" w:cs="Calibri"/>
        </w:rPr>
        <w:t>s</w:t>
      </w:r>
      <w:r>
        <w:rPr>
          <w:rFonts w:eastAsia="Calibri" w:cs="Calibri"/>
        </w:rPr>
        <w:t xml:space="preserve"> dos bens imóveis, bem como sua depreciação, são efetuados pela Superintendência de Patrimônio da União </w:t>
      </w:r>
      <w:r w:rsidR="00952F2B">
        <w:rPr>
          <w:rFonts w:eastAsia="Calibri" w:cs="Calibri"/>
        </w:rPr>
        <w:t>–</w:t>
      </w:r>
      <w:r>
        <w:rPr>
          <w:rFonts w:eastAsia="Calibri" w:cs="Calibri"/>
        </w:rPr>
        <w:t xml:space="preserve"> SPU</w:t>
      </w:r>
      <w:r w:rsidR="00952F2B">
        <w:rPr>
          <w:rFonts w:eastAsia="Calibri" w:cs="Calibri"/>
        </w:rPr>
        <w:t>,</w:t>
      </w:r>
      <w:r>
        <w:rPr>
          <w:rFonts w:eastAsia="Calibri" w:cs="Calibri"/>
        </w:rPr>
        <w:t xml:space="preserve"> por meio do Sistema de Gerenciamento dos Imóveis de Uso Especial da União - </w:t>
      </w:r>
      <w:proofErr w:type="spellStart"/>
      <w:r>
        <w:rPr>
          <w:rFonts w:eastAsia="Calibri" w:cs="Calibri"/>
        </w:rPr>
        <w:t>SPIUnet</w:t>
      </w:r>
      <w:proofErr w:type="spellEnd"/>
      <w:r>
        <w:rPr>
          <w:rFonts w:eastAsia="Calibri" w:cs="Calibri"/>
        </w:rPr>
        <w:t>, que tem interface com o SIAFI, não havendo gerência deste TRE/ES quanto aos lançamentos</w:t>
      </w:r>
      <w:r w:rsidR="00952F2B">
        <w:rPr>
          <w:rFonts w:eastAsia="Calibri" w:cs="Calibri"/>
        </w:rPr>
        <w:t xml:space="preserve"> efetuados</w:t>
      </w:r>
      <w:r>
        <w:rPr>
          <w:rFonts w:eastAsia="Calibri" w:cs="Calibri"/>
        </w:rPr>
        <w:t>.</w:t>
      </w:r>
    </w:p>
    <w:p w14:paraId="6C0835FA" w14:textId="4A76BA9F" w:rsidR="00F65091" w:rsidRDefault="00716C2D" w:rsidP="00E27CB7">
      <w:pPr>
        <w:spacing w:line="276" w:lineRule="auto"/>
        <w:jc w:val="both"/>
        <w:rPr>
          <w:rFonts w:ascii="Calibri" w:eastAsia="Calibri" w:hAnsi="Calibri" w:cs="Calibri"/>
        </w:rPr>
      </w:pPr>
      <w:r>
        <w:rPr>
          <w:rFonts w:eastAsia="Calibri" w:cs="Calibri"/>
        </w:rPr>
        <w:t xml:space="preserve">Em 31.12.2022 o TRE/ES encerrou o exercício financeiro com saldo de R$ 69.121.060,38 </w:t>
      </w:r>
      <w:r w:rsidR="00D04940">
        <w:rPr>
          <w:rFonts w:eastAsia="Calibri" w:cs="Calibri"/>
        </w:rPr>
        <w:t>em</w:t>
      </w:r>
      <w:r w:rsidR="00992E91">
        <w:rPr>
          <w:rFonts w:eastAsia="Calibri" w:cs="Calibri"/>
        </w:rPr>
        <w:t xml:space="preserve"> Bens Imóveis</w:t>
      </w:r>
      <w:r>
        <w:rPr>
          <w:rFonts w:eastAsia="Calibri" w:cs="Calibri"/>
        </w:rPr>
        <w:t xml:space="preserve">. Abaixo, apresentamos uma tabela com a composição do Subgrupo Imobilizado referentes aos exercícios de 2022 e 2021. </w:t>
      </w:r>
      <w:r>
        <w:br/>
      </w:r>
    </w:p>
    <w:p w14:paraId="6B9962A8" w14:textId="2F3F18E4" w:rsidR="00930112" w:rsidRDefault="00930112" w:rsidP="00930112">
      <w:pPr>
        <w:jc w:val="center"/>
        <w:rPr>
          <w:rFonts w:eastAsia="Calibri" w:cs="Calibri"/>
          <w:b/>
          <w:bCs/>
        </w:rPr>
      </w:pPr>
      <w:r w:rsidRPr="00A45388">
        <w:rPr>
          <w:rFonts w:eastAsia="Calibri" w:cs="Calibri"/>
          <w:b/>
          <w:bCs/>
        </w:rPr>
        <w:t>Tabela 0</w:t>
      </w:r>
      <w:r w:rsidR="00FD78D8">
        <w:rPr>
          <w:rFonts w:eastAsia="Calibri" w:cs="Calibri"/>
          <w:b/>
          <w:bCs/>
        </w:rPr>
        <w:t>5</w:t>
      </w:r>
      <w:r w:rsidRPr="00A45388">
        <w:rPr>
          <w:rFonts w:eastAsia="Calibri" w:cs="Calibri"/>
          <w:b/>
          <w:bCs/>
        </w:rPr>
        <w:t xml:space="preserve"> – Bens </w:t>
      </w:r>
      <w:r>
        <w:rPr>
          <w:rFonts w:eastAsia="Calibri" w:cs="Calibri"/>
          <w:b/>
          <w:bCs/>
        </w:rPr>
        <w:t>Im</w:t>
      </w:r>
      <w:r w:rsidRPr="00A45388">
        <w:rPr>
          <w:rFonts w:eastAsia="Calibri" w:cs="Calibri"/>
          <w:b/>
          <w:bCs/>
        </w:rPr>
        <w:t>óveis R$</w:t>
      </w:r>
    </w:p>
    <w:tbl>
      <w:tblPr>
        <w:tblStyle w:val="ListaColorida-nfase6"/>
        <w:tblW w:w="6943" w:type="dxa"/>
        <w:tblInd w:w="1495" w:type="dxa"/>
        <w:tblLayout w:type="fixed"/>
        <w:tblLook w:val="0680" w:firstRow="0" w:lastRow="0" w:firstColumn="1" w:lastColumn="0" w:noHBand="1" w:noVBand="1"/>
      </w:tblPr>
      <w:tblGrid>
        <w:gridCol w:w="2135"/>
        <w:gridCol w:w="1559"/>
        <w:gridCol w:w="851"/>
        <w:gridCol w:w="1559"/>
        <w:gridCol w:w="839"/>
      </w:tblGrid>
      <w:tr w:rsidR="00B0694C" w14:paraId="34BA15D8" w14:textId="77777777" w:rsidTr="0036555A">
        <w:trPr>
          <w:trHeight w:val="300"/>
        </w:trPr>
        <w:tc>
          <w:tcPr>
            <w:cnfStyle w:val="001000000000" w:firstRow="0" w:lastRow="0" w:firstColumn="1" w:lastColumn="0" w:oddVBand="0" w:evenVBand="0" w:oddHBand="0" w:evenHBand="0" w:firstRowFirstColumn="0" w:firstRowLastColumn="0" w:lastRowFirstColumn="0" w:lastRowLastColumn="0"/>
            <w:tcW w:w="2135" w:type="dxa"/>
          </w:tcPr>
          <w:p w14:paraId="040B369A" w14:textId="35A3EFD8" w:rsidR="00B0694C" w:rsidRPr="00E75705" w:rsidRDefault="00B0694C" w:rsidP="00B0694C">
            <w:pPr>
              <w:spacing w:after="0" w:line="360" w:lineRule="auto"/>
              <w:rPr>
                <w:rFonts w:ascii="Calibri" w:eastAsia="Calibri" w:hAnsi="Calibri" w:cs="Calibri"/>
              </w:rPr>
            </w:pPr>
            <w:r>
              <w:rPr>
                <w:rFonts w:eastAsia="Calibri" w:cs="Calibri"/>
              </w:rPr>
              <w:t>Bens de Uso Especial</w:t>
            </w:r>
          </w:p>
        </w:tc>
        <w:tc>
          <w:tcPr>
            <w:tcW w:w="1559" w:type="dxa"/>
          </w:tcPr>
          <w:p w14:paraId="3D3A535D" w14:textId="77777777" w:rsidR="00B0694C" w:rsidRPr="00E75705"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31/12/2022</w:t>
            </w:r>
          </w:p>
        </w:tc>
        <w:tc>
          <w:tcPr>
            <w:tcW w:w="851" w:type="dxa"/>
          </w:tcPr>
          <w:p w14:paraId="239EB10E" w14:textId="127DA5F1" w:rsidR="00B0694C" w:rsidRPr="00E75705"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b/>
                <w:bCs/>
              </w:rPr>
            </w:pPr>
            <w:r>
              <w:rPr>
                <w:rFonts w:eastAsia="Calibri" w:cs="Calibri"/>
                <w:b/>
                <w:bCs/>
              </w:rPr>
              <w:t>AV%</w:t>
            </w:r>
          </w:p>
        </w:tc>
        <w:tc>
          <w:tcPr>
            <w:tcW w:w="1559" w:type="dxa"/>
          </w:tcPr>
          <w:p w14:paraId="019CF114" w14:textId="1570CE15" w:rsidR="00B0694C" w:rsidRPr="00E75705"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31/12/2021</w:t>
            </w:r>
          </w:p>
        </w:tc>
        <w:tc>
          <w:tcPr>
            <w:tcW w:w="839" w:type="dxa"/>
          </w:tcPr>
          <w:p w14:paraId="7CD93B04" w14:textId="2DA39D91" w:rsidR="00B0694C" w:rsidRPr="00E75705"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A</w:t>
            </w:r>
            <w:r>
              <w:rPr>
                <w:rFonts w:eastAsia="Calibri" w:cs="Calibri"/>
                <w:b/>
                <w:bCs/>
              </w:rPr>
              <w:t>H</w:t>
            </w:r>
            <w:r w:rsidRPr="00E75705">
              <w:rPr>
                <w:rFonts w:eastAsia="Calibri" w:cs="Calibri"/>
                <w:b/>
                <w:bCs/>
              </w:rPr>
              <w:t xml:space="preserve"> %</w:t>
            </w:r>
          </w:p>
        </w:tc>
      </w:tr>
      <w:tr w:rsidR="00B0694C" w14:paraId="1FD1BE44" w14:textId="77777777" w:rsidTr="0036555A">
        <w:trPr>
          <w:trHeight w:val="300"/>
        </w:trPr>
        <w:tc>
          <w:tcPr>
            <w:cnfStyle w:val="001000000000" w:firstRow="0" w:lastRow="0" w:firstColumn="1" w:lastColumn="0" w:oddVBand="0" w:evenVBand="0" w:oddHBand="0" w:evenHBand="0" w:firstRowFirstColumn="0" w:firstRowLastColumn="0" w:lastRowFirstColumn="0" w:lastRowLastColumn="0"/>
            <w:tcW w:w="2135" w:type="dxa"/>
          </w:tcPr>
          <w:p w14:paraId="61E4DB8E" w14:textId="15953422" w:rsidR="00B0694C" w:rsidRPr="00FA580A" w:rsidRDefault="00B0694C" w:rsidP="00B0694C">
            <w:pPr>
              <w:spacing w:after="0" w:line="360" w:lineRule="auto"/>
              <w:rPr>
                <w:rFonts w:ascii="Calibri" w:eastAsia="Calibri" w:hAnsi="Calibri" w:cs="Calibri"/>
                <w:b w:val="0"/>
              </w:rPr>
            </w:pPr>
            <w:r>
              <w:rPr>
                <w:rFonts w:ascii="Calibri" w:eastAsia="Calibri" w:hAnsi="Calibri" w:cs="Calibri"/>
                <w:b w:val="0"/>
              </w:rPr>
              <w:t>Edifícios</w:t>
            </w:r>
          </w:p>
        </w:tc>
        <w:tc>
          <w:tcPr>
            <w:tcW w:w="1559" w:type="dxa"/>
          </w:tcPr>
          <w:p w14:paraId="23C7B97E" w14:textId="73187016" w:rsidR="00B0694C" w:rsidRPr="006A7735"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6A7735">
              <w:rPr>
                <w:rFonts w:ascii="Calibri" w:eastAsia="Calibri" w:hAnsi="Calibri" w:cs="Calibri"/>
              </w:rPr>
              <w:t>68.783.239,65</w:t>
            </w:r>
          </w:p>
        </w:tc>
        <w:tc>
          <w:tcPr>
            <w:tcW w:w="851" w:type="dxa"/>
          </w:tcPr>
          <w:p w14:paraId="328B0056" w14:textId="7953CB3D" w:rsidR="00B0694C" w:rsidRPr="00225E13"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99,51</w:t>
            </w:r>
          </w:p>
        </w:tc>
        <w:tc>
          <w:tcPr>
            <w:tcW w:w="1559" w:type="dxa"/>
          </w:tcPr>
          <w:p w14:paraId="4023E79F" w14:textId="6E14E466" w:rsidR="00B0694C" w:rsidRPr="00225E13"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225E13">
              <w:rPr>
                <w:rFonts w:ascii="Calibri" w:eastAsia="Calibri" w:hAnsi="Calibri" w:cs="Calibri"/>
              </w:rPr>
              <w:t>69.543.464,30</w:t>
            </w:r>
          </w:p>
        </w:tc>
        <w:tc>
          <w:tcPr>
            <w:tcW w:w="839" w:type="dxa"/>
          </w:tcPr>
          <w:p w14:paraId="3C79983A" w14:textId="34E5D7EB" w:rsidR="00B0694C" w:rsidRPr="00225E13"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-1,08</w:t>
            </w:r>
          </w:p>
        </w:tc>
      </w:tr>
      <w:tr w:rsidR="00B0694C" w14:paraId="78500E40" w14:textId="77777777" w:rsidTr="0036555A">
        <w:trPr>
          <w:trHeight w:val="300"/>
        </w:trPr>
        <w:tc>
          <w:tcPr>
            <w:cnfStyle w:val="001000000000" w:firstRow="0" w:lastRow="0" w:firstColumn="1" w:lastColumn="0" w:oddVBand="0" w:evenVBand="0" w:oddHBand="0" w:evenHBand="0" w:firstRowFirstColumn="0" w:firstRowLastColumn="0" w:lastRowFirstColumn="0" w:lastRowLastColumn="0"/>
            <w:tcW w:w="2135" w:type="dxa"/>
          </w:tcPr>
          <w:p w14:paraId="4C7CFE56" w14:textId="36CB915B" w:rsidR="00B0694C" w:rsidRPr="00FA580A" w:rsidRDefault="00B0694C" w:rsidP="00B0694C">
            <w:pPr>
              <w:spacing w:after="0" w:line="360" w:lineRule="auto"/>
              <w:rPr>
                <w:rFonts w:ascii="Calibri" w:eastAsia="Calibri" w:hAnsi="Calibri" w:cs="Calibri"/>
                <w:b w:val="0"/>
              </w:rPr>
            </w:pPr>
            <w:r>
              <w:rPr>
                <w:rFonts w:ascii="Calibri" w:eastAsia="Calibri" w:hAnsi="Calibri" w:cs="Calibri"/>
                <w:b w:val="0"/>
              </w:rPr>
              <w:t>Instalações</w:t>
            </w:r>
          </w:p>
        </w:tc>
        <w:tc>
          <w:tcPr>
            <w:tcW w:w="1559" w:type="dxa"/>
          </w:tcPr>
          <w:p w14:paraId="7235F597" w14:textId="5B5BC50D" w:rsidR="00B0694C" w:rsidRPr="00E75705"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pPr>
            <w:r>
              <w:t>337.820,73</w:t>
            </w:r>
          </w:p>
        </w:tc>
        <w:tc>
          <w:tcPr>
            <w:tcW w:w="851" w:type="dxa"/>
          </w:tcPr>
          <w:p w14:paraId="5AB4535A" w14:textId="1EA8E84F" w:rsidR="00B0694C"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0,49</w:t>
            </w:r>
          </w:p>
        </w:tc>
        <w:tc>
          <w:tcPr>
            <w:tcW w:w="1559" w:type="dxa"/>
          </w:tcPr>
          <w:p w14:paraId="1B1BA595" w14:textId="2C5BD983" w:rsidR="00B0694C" w:rsidRPr="00E75705"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337.820,73</w:t>
            </w:r>
          </w:p>
        </w:tc>
        <w:tc>
          <w:tcPr>
            <w:tcW w:w="839" w:type="dxa"/>
          </w:tcPr>
          <w:p w14:paraId="0EAC0532" w14:textId="2C9379B9" w:rsidR="00B0694C" w:rsidRPr="00E75705"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w:t>
            </w:r>
          </w:p>
        </w:tc>
      </w:tr>
      <w:tr w:rsidR="00B0694C" w14:paraId="74A38ABD" w14:textId="77777777" w:rsidTr="0036555A">
        <w:trPr>
          <w:trHeight w:val="300"/>
        </w:trPr>
        <w:tc>
          <w:tcPr>
            <w:cnfStyle w:val="001000000000" w:firstRow="0" w:lastRow="0" w:firstColumn="1" w:lastColumn="0" w:oddVBand="0" w:evenVBand="0" w:oddHBand="0" w:evenHBand="0" w:firstRowFirstColumn="0" w:firstRowLastColumn="0" w:lastRowFirstColumn="0" w:lastRowLastColumn="0"/>
            <w:tcW w:w="2135" w:type="dxa"/>
          </w:tcPr>
          <w:p w14:paraId="3DBD6FF2" w14:textId="60092040" w:rsidR="00B0694C" w:rsidRPr="00954E8F" w:rsidRDefault="00B0694C" w:rsidP="00B0694C">
            <w:pPr>
              <w:spacing w:after="0" w:line="360" w:lineRule="auto"/>
              <w:rPr>
                <w:rFonts w:ascii="Calibri" w:eastAsia="Calibri" w:hAnsi="Calibri" w:cs="Calibri"/>
                <w:bCs w:val="0"/>
              </w:rPr>
            </w:pPr>
            <w:r w:rsidRPr="00954E8F">
              <w:rPr>
                <w:rFonts w:ascii="Calibri" w:eastAsia="Calibri" w:hAnsi="Calibri" w:cs="Calibri"/>
                <w:bCs w:val="0"/>
              </w:rPr>
              <w:t>Total</w:t>
            </w:r>
          </w:p>
        </w:tc>
        <w:tc>
          <w:tcPr>
            <w:tcW w:w="1559" w:type="dxa"/>
          </w:tcPr>
          <w:p w14:paraId="277C5A5A" w14:textId="04D0F0F0" w:rsidR="00B0694C" w:rsidRPr="00954E8F"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b/>
              </w:rPr>
            </w:pPr>
            <w:r w:rsidRPr="00954E8F">
              <w:rPr>
                <w:rFonts w:eastAsia="Calibri" w:cs="Calibri"/>
                <w:b/>
              </w:rPr>
              <w:t>69.121.060,38</w:t>
            </w:r>
          </w:p>
        </w:tc>
        <w:tc>
          <w:tcPr>
            <w:tcW w:w="851" w:type="dxa"/>
          </w:tcPr>
          <w:p w14:paraId="512709E5" w14:textId="77777777" w:rsidR="00B0694C" w:rsidRPr="00954E8F"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b/>
              </w:rPr>
            </w:pPr>
          </w:p>
        </w:tc>
        <w:tc>
          <w:tcPr>
            <w:tcW w:w="1559" w:type="dxa"/>
          </w:tcPr>
          <w:p w14:paraId="68A2F474" w14:textId="6DD2F5A7" w:rsidR="00B0694C" w:rsidRPr="00954E8F"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rPr>
            </w:pPr>
            <w:r w:rsidRPr="00954E8F">
              <w:rPr>
                <w:rFonts w:eastAsia="Calibri" w:cs="Calibri"/>
                <w:b/>
              </w:rPr>
              <w:t>69.881.285,03</w:t>
            </w:r>
          </w:p>
        </w:tc>
        <w:tc>
          <w:tcPr>
            <w:tcW w:w="839" w:type="dxa"/>
          </w:tcPr>
          <w:p w14:paraId="4E88E41A" w14:textId="692FE77B" w:rsidR="00B0694C" w:rsidRPr="00954E8F" w:rsidRDefault="00B0694C" w:rsidP="00B0694C">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rPr>
            </w:pPr>
            <w:r w:rsidRPr="00954E8F">
              <w:rPr>
                <w:rFonts w:eastAsia="Calibri" w:cs="Calibri"/>
                <w:b/>
              </w:rPr>
              <w:t>-1,08</w:t>
            </w:r>
          </w:p>
        </w:tc>
      </w:tr>
    </w:tbl>
    <w:p w14:paraId="26DB83CA" w14:textId="40CBD6B4" w:rsidR="00930112" w:rsidRDefault="0036555A" w:rsidP="00FC0603">
      <w:pPr>
        <w:ind w:left="708" w:firstLine="708"/>
        <w:rPr>
          <w:rFonts w:ascii="Calibri" w:eastAsia="Calibri" w:hAnsi="Calibri" w:cs="Calibri"/>
          <w:sz w:val="18"/>
          <w:szCs w:val="18"/>
        </w:rPr>
      </w:pPr>
      <w:r>
        <w:rPr>
          <w:rFonts w:ascii="Calibri" w:eastAsia="Calibri" w:hAnsi="Calibri" w:cs="Calibri"/>
          <w:b/>
          <w:bCs/>
        </w:rPr>
        <w:t xml:space="preserve"> </w:t>
      </w:r>
      <w:r w:rsidR="00506A26">
        <w:rPr>
          <w:rFonts w:ascii="Calibri" w:eastAsia="Calibri" w:hAnsi="Calibri" w:cs="Calibri"/>
          <w:b/>
          <w:bCs/>
        </w:rPr>
        <w:t xml:space="preserve"> </w:t>
      </w:r>
      <w:r w:rsidR="00930112">
        <w:rPr>
          <w:rFonts w:eastAsia="Calibri" w:cs="Calibri"/>
          <w:sz w:val="18"/>
          <w:szCs w:val="18"/>
        </w:rPr>
        <w:t>Fonte: SIAFI</w:t>
      </w:r>
    </w:p>
    <w:p w14:paraId="15C6108D" w14:textId="55757106" w:rsidR="00102E2E" w:rsidRDefault="00F47617" w:rsidP="00E27CB7">
      <w:pPr>
        <w:spacing w:line="276" w:lineRule="auto"/>
        <w:jc w:val="both"/>
      </w:pPr>
      <w:r>
        <w:br/>
      </w:r>
      <w:r w:rsidR="00102E2E" w:rsidRPr="00F47617">
        <w:t xml:space="preserve">De acordo com a tabela anterior, os Bens de Uso Especial correspondem a </w:t>
      </w:r>
      <w:r w:rsidR="0036555A" w:rsidRPr="00F47617">
        <w:t>99,51</w:t>
      </w:r>
      <w:r w:rsidR="00102E2E" w:rsidRPr="00F47617">
        <w:t xml:space="preserve">% de todos os bens </w:t>
      </w:r>
      <w:r w:rsidR="008B6EF1" w:rsidRPr="00F47617">
        <w:t xml:space="preserve">imóveis reconhecidos contabilmente no Balanço Patrimonial da Justiça Eleitoral, perfazendo o montante de R$ </w:t>
      </w:r>
      <w:r w:rsidR="0036555A" w:rsidRPr="00F47617">
        <w:t>68.783.239,65</w:t>
      </w:r>
      <w:r w:rsidR="008B6EF1" w:rsidRPr="00F47617">
        <w:t xml:space="preserve">, em 31/12/2022, em valores brutos (Sem a Depreciação Acumulada). </w:t>
      </w:r>
    </w:p>
    <w:p w14:paraId="1770FC02" w14:textId="21B22A8F" w:rsidR="00F47617" w:rsidRDefault="00473539" w:rsidP="00E27CB7">
      <w:pPr>
        <w:spacing w:line="276" w:lineRule="auto"/>
        <w:jc w:val="both"/>
      </w:pPr>
      <w:r>
        <w:t xml:space="preserve">Quanto a redução dos valores registrados na conta de </w:t>
      </w:r>
      <w:proofErr w:type="spellStart"/>
      <w:r>
        <w:t>Edíficios</w:t>
      </w:r>
      <w:proofErr w:type="spellEnd"/>
      <w:r w:rsidR="00FE4DA6">
        <w:t xml:space="preserve"> (-1</w:t>
      </w:r>
      <w:r w:rsidR="00A72338">
        <w:t>,</w:t>
      </w:r>
      <w:r w:rsidR="00FE4DA6">
        <w:t>08%), ressalta-se as seguintes situações:</w:t>
      </w:r>
    </w:p>
    <w:p w14:paraId="309DD933" w14:textId="2002DA21" w:rsidR="00FE4DA6" w:rsidRDefault="00937CF3" w:rsidP="00E27CB7">
      <w:pPr>
        <w:pStyle w:val="PargrafodaLista"/>
        <w:numPr>
          <w:ilvl w:val="0"/>
          <w:numId w:val="3"/>
        </w:numPr>
        <w:spacing w:line="276" w:lineRule="auto"/>
        <w:jc w:val="both"/>
      </w:pPr>
      <w:r>
        <w:t xml:space="preserve">em 28/01/2002, foi efetuada a devolução do imóvel </w:t>
      </w:r>
      <w:r w:rsidR="007B2165">
        <w:t xml:space="preserve">situado em Santa Leopoldina no </w:t>
      </w:r>
      <w:proofErr w:type="spellStart"/>
      <w:r w:rsidR="007B2165">
        <w:t>Spiunet</w:t>
      </w:r>
      <w:proofErr w:type="spellEnd"/>
      <w:r w:rsidR="007B2165">
        <w:t>, no valor de R$ 880</w:t>
      </w:r>
      <w:r w:rsidR="005E315A">
        <w:t>.000,00</w:t>
      </w:r>
      <w:r w:rsidR="00147E36">
        <w:t xml:space="preserve"> </w:t>
      </w:r>
      <w:r w:rsidR="00147E36" w:rsidRPr="0019296F">
        <w:t>(</w:t>
      </w:r>
      <w:r w:rsidR="00311CD0" w:rsidRPr="0019296F">
        <w:t xml:space="preserve">RIP </w:t>
      </w:r>
      <w:r w:rsidR="0019296F">
        <w:t xml:space="preserve">de utilização </w:t>
      </w:r>
      <w:r w:rsidR="007C3522">
        <w:t>nº 5689.00006-500-2</w:t>
      </w:r>
      <w:r w:rsidR="006B0E42" w:rsidRPr="0019296F">
        <w:t>)</w:t>
      </w:r>
      <w:r w:rsidR="005E315A" w:rsidRPr="0019296F">
        <w:t xml:space="preserve">, </w:t>
      </w:r>
      <w:r w:rsidR="005E315A">
        <w:t>conforme documento 2022NL800001, registrado no SIAFI</w:t>
      </w:r>
      <w:r w:rsidR="00BB7E64">
        <w:t>;</w:t>
      </w:r>
    </w:p>
    <w:p w14:paraId="59D3510B" w14:textId="46584711" w:rsidR="00BB7E64" w:rsidRDefault="00BB7E64" w:rsidP="00E27CB7">
      <w:pPr>
        <w:pStyle w:val="PargrafodaLista"/>
        <w:numPr>
          <w:ilvl w:val="0"/>
          <w:numId w:val="3"/>
        </w:numPr>
        <w:spacing w:line="276" w:lineRule="auto"/>
        <w:jc w:val="both"/>
      </w:pPr>
      <w:r>
        <w:t>reavaliaç</w:t>
      </w:r>
      <w:r w:rsidR="00320D17">
        <w:t>ão</w:t>
      </w:r>
      <w:r>
        <w:t xml:space="preserve"> de imóve</w:t>
      </w:r>
      <w:r w:rsidR="00320D17">
        <w:t>l</w:t>
      </w:r>
      <w:r w:rsidR="00B059C7">
        <w:t xml:space="preserve"> do Cartório Eleitoral de Guarapari/ES,</w:t>
      </w:r>
      <w:r w:rsidR="001600EA">
        <w:t xml:space="preserve"> efetuada em 22/11/2022</w:t>
      </w:r>
      <w:r w:rsidR="00A80DB2">
        <w:t xml:space="preserve">, </w:t>
      </w:r>
      <w:r w:rsidR="006B52B3">
        <w:t>no valor de R$ 23.775,61, conforme documento</w:t>
      </w:r>
      <w:r w:rsidR="00B059C7">
        <w:t>s</w:t>
      </w:r>
      <w:r w:rsidR="006B52B3">
        <w:t xml:space="preserve"> 2022NL800002</w:t>
      </w:r>
      <w:r w:rsidR="00834993">
        <w:t xml:space="preserve"> e </w:t>
      </w:r>
      <w:r w:rsidR="00B059C7">
        <w:t>2022NS008072</w:t>
      </w:r>
      <w:r w:rsidR="006B52B3">
        <w:t>, registrado</w:t>
      </w:r>
      <w:r w:rsidR="00B059C7">
        <w:t>s</w:t>
      </w:r>
      <w:r w:rsidR="006B52B3">
        <w:t xml:space="preserve"> no SIAFI</w:t>
      </w:r>
      <w:r w:rsidR="003570CC">
        <w:t xml:space="preserve"> (processo SEI 2383-44.2021)</w:t>
      </w:r>
      <w:r w:rsidR="006B52B3">
        <w:t>;</w:t>
      </w:r>
    </w:p>
    <w:p w14:paraId="19CF824A" w14:textId="4AEEDC4D" w:rsidR="00AF080B" w:rsidRDefault="004855AC" w:rsidP="00E27CB7">
      <w:pPr>
        <w:pStyle w:val="PargrafodaLista"/>
        <w:numPr>
          <w:ilvl w:val="0"/>
          <w:numId w:val="3"/>
        </w:numPr>
        <w:spacing w:line="276" w:lineRule="auto"/>
        <w:jc w:val="both"/>
      </w:pPr>
      <w:r>
        <w:t xml:space="preserve">Em 05/12/2022, foi efetuada a reavaliação de imóvel </w:t>
      </w:r>
      <w:r w:rsidR="00A0701E">
        <w:t xml:space="preserve">do Cartório Eleitoral de Viana/ES, </w:t>
      </w:r>
      <w:r>
        <w:t>no valor de R$ 96.000,00, conforme documento</w:t>
      </w:r>
      <w:r w:rsidR="000653CB">
        <w:t>s</w:t>
      </w:r>
      <w:r>
        <w:t xml:space="preserve"> SIAFI 2022NL800003</w:t>
      </w:r>
      <w:r w:rsidR="000653CB">
        <w:t xml:space="preserve"> e 2022NS008308</w:t>
      </w:r>
      <w:r w:rsidR="00A0701E">
        <w:t xml:space="preserve"> (proc. SEI 8869-79.2020)</w:t>
      </w:r>
      <w:r>
        <w:t>.</w:t>
      </w:r>
    </w:p>
    <w:p w14:paraId="6337F5AA" w14:textId="77777777" w:rsidR="00052BF1" w:rsidRPr="00052BF1" w:rsidRDefault="00052BF1" w:rsidP="00052BF1">
      <w:pPr>
        <w:pStyle w:val="PargrafodaLista"/>
        <w:spacing w:line="276" w:lineRule="auto"/>
        <w:jc w:val="both"/>
      </w:pPr>
    </w:p>
    <w:p w14:paraId="120BA0A6" w14:textId="74D867C7" w:rsidR="00F65091" w:rsidRDefault="00052BF1" w:rsidP="00E27CB7">
      <w:pPr>
        <w:spacing w:line="276" w:lineRule="auto"/>
        <w:jc w:val="both"/>
        <w:rPr>
          <w:b/>
          <w:bCs/>
        </w:rPr>
      </w:pPr>
      <w:r>
        <w:rPr>
          <w:b/>
          <w:bCs/>
        </w:rPr>
        <w:br/>
      </w:r>
      <w:r w:rsidR="000301B7">
        <w:rPr>
          <w:b/>
          <w:bCs/>
        </w:rPr>
        <w:t>NOTA 05 -</w:t>
      </w:r>
      <w:r w:rsidR="00716C2D">
        <w:rPr>
          <w:b/>
          <w:bCs/>
        </w:rPr>
        <w:t>D</w:t>
      </w:r>
      <w:r w:rsidR="000301B7">
        <w:rPr>
          <w:b/>
          <w:bCs/>
        </w:rPr>
        <w:t>EPRECIAÇÃO</w:t>
      </w:r>
    </w:p>
    <w:p w14:paraId="631EB846" w14:textId="77777777" w:rsidR="00F65091" w:rsidRDefault="00716C2D" w:rsidP="00E27CB7">
      <w:pPr>
        <w:spacing w:line="276" w:lineRule="auto"/>
        <w:jc w:val="both"/>
        <w:rPr>
          <w:rFonts w:ascii="Calibri" w:eastAsia="Arial" w:hAnsi="Calibri" w:cs="Arial"/>
          <w:color w:val="000000" w:themeColor="text1"/>
        </w:rPr>
      </w:pPr>
      <w:r>
        <w:rPr>
          <w:rFonts w:eastAsia="Calibri" w:cs="Calibri"/>
        </w:rPr>
        <w:lastRenderedPageBreak/>
        <w:t xml:space="preserve">A conta Depreciação Acumulada está diretamente relacionada ao desgaste pelo uso, ação da natureza ou obsolescência dos bens móveis ou imóveis da Justiça Eleitoral. </w:t>
      </w:r>
      <w:r>
        <w:rPr>
          <w:rFonts w:ascii="Calibri" w:eastAsia="Arial" w:hAnsi="Calibri" w:cs="Arial"/>
          <w:color w:val="000000" w:themeColor="text1"/>
        </w:rPr>
        <w:t xml:space="preserve">A depreciação é registrada seguindo as regras impostas nas Normas Brasileiras de Contabilidade Aplicadas ao Setor Público, com as Orientações contidas na </w:t>
      </w:r>
      <w:proofErr w:type="spellStart"/>
      <w:r>
        <w:rPr>
          <w:rFonts w:ascii="Calibri" w:eastAsia="Arial" w:hAnsi="Calibri" w:cs="Arial"/>
          <w:color w:val="000000" w:themeColor="text1"/>
        </w:rPr>
        <w:t>Macrofunção</w:t>
      </w:r>
      <w:proofErr w:type="spellEnd"/>
      <w:r>
        <w:rPr>
          <w:rFonts w:ascii="Calibri" w:eastAsia="Arial" w:hAnsi="Calibri" w:cs="Arial"/>
          <w:color w:val="000000" w:themeColor="text1"/>
        </w:rPr>
        <w:t xml:space="preserve"> Siafi 02.03.30 – Depreciação, Amortização e Exaustão na Administração Direta da União, Autarquias e Fundações, emitidas pela Secretaria do Tesouro Nacional – STN, e com orientações internas. </w:t>
      </w:r>
    </w:p>
    <w:p w14:paraId="7E803C88" w14:textId="6E402A4D" w:rsidR="00040F98" w:rsidRDefault="00040F98" w:rsidP="00040F98">
      <w:pPr>
        <w:spacing w:after="0"/>
        <w:jc w:val="center"/>
        <w:rPr>
          <w:rFonts w:eastAsia="Calibri" w:cs="Calibri"/>
          <w:b/>
          <w:bCs/>
        </w:rPr>
      </w:pPr>
      <w:r>
        <w:rPr>
          <w:rFonts w:eastAsia="Calibri" w:cs="Calibri"/>
          <w:b/>
          <w:bCs/>
        </w:rPr>
        <w:t>Tabela 0</w:t>
      </w:r>
      <w:r w:rsidR="0069637F">
        <w:rPr>
          <w:rFonts w:eastAsia="Calibri" w:cs="Calibri"/>
          <w:b/>
          <w:bCs/>
        </w:rPr>
        <w:t>6</w:t>
      </w:r>
      <w:r>
        <w:rPr>
          <w:rFonts w:eastAsia="Calibri" w:cs="Calibri"/>
          <w:b/>
          <w:bCs/>
        </w:rPr>
        <w:t xml:space="preserve"> – </w:t>
      </w:r>
      <w:r w:rsidR="00320CE7">
        <w:rPr>
          <w:rFonts w:eastAsia="Calibri" w:cs="Calibri"/>
          <w:b/>
          <w:bCs/>
        </w:rPr>
        <w:t xml:space="preserve">Depreciação </w:t>
      </w:r>
      <w:r>
        <w:rPr>
          <w:rFonts w:eastAsia="Calibri" w:cs="Calibri"/>
          <w:b/>
          <w:bCs/>
        </w:rPr>
        <w:t>(R$)</w:t>
      </w:r>
    </w:p>
    <w:tbl>
      <w:tblPr>
        <w:tblStyle w:val="ListaColorida-nfase6"/>
        <w:tblW w:w="7401" w:type="dxa"/>
        <w:tblInd w:w="1337" w:type="dxa"/>
        <w:tblLayout w:type="fixed"/>
        <w:tblLook w:val="0680" w:firstRow="0" w:lastRow="0" w:firstColumn="1" w:lastColumn="0" w:noHBand="1" w:noVBand="1"/>
      </w:tblPr>
      <w:tblGrid>
        <w:gridCol w:w="2916"/>
        <w:gridCol w:w="1726"/>
        <w:gridCol w:w="1725"/>
        <w:gridCol w:w="1034"/>
      </w:tblGrid>
      <w:tr w:rsidR="001A2339" w14:paraId="27B323FA" w14:textId="77777777" w:rsidTr="00AB44C9">
        <w:trPr>
          <w:trHeight w:val="300"/>
        </w:trPr>
        <w:tc>
          <w:tcPr>
            <w:cnfStyle w:val="001000000000" w:firstRow="0" w:lastRow="0" w:firstColumn="1" w:lastColumn="0" w:oddVBand="0" w:evenVBand="0" w:oddHBand="0" w:evenHBand="0" w:firstRowFirstColumn="0" w:firstRowLastColumn="0" w:lastRowFirstColumn="0" w:lastRowLastColumn="0"/>
            <w:tcW w:w="2916" w:type="dxa"/>
          </w:tcPr>
          <w:p w14:paraId="53D3853D" w14:textId="77777777" w:rsidR="001A2339" w:rsidRDefault="001A2339" w:rsidP="00A708AD">
            <w:pPr>
              <w:spacing w:after="0" w:line="360" w:lineRule="auto"/>
              <w:rPr>
                <w:rFonts w:eastAsia="Calibri" w:cs="Calibri"/>
                <w:b w:val="0"/>
                <w:bCs w:val="0"/>
              </w:rPr>
            </w:pPr>
            <w:r>
              <w:rPr>
                <w:rFonts w:eastAsia="Calibri" w:cs="Calibri"/>
              </w:rPr>
              <w:t>Depreciação</w:t>
            </w:r>
          </w:p>
          <w:p w14:paraId="0DB82596" w14:textId="453DE038" w:rsidR="001A2339" w:rsidRPr="001A2339" w:rsidRDefault="001A2339" w:rsidP="00A708AD">
            <w:pPr>
              <w:spacing w:after="0" w:line="360" w:lineRule="auto"/>
              <w:rPr>
                <w:rFonts w:eastAsia="Calibri" w:cs="Calibri"/>
                <w:b w:val="0"/>
                <w:bCs w:val="0"/>
              </w:rPr>
            </w:pPr>
            <w:r>
              <w:rPr>
                <w:rFonts w:eastAsia="Calibri" w:cs="Calibri"/>
              </w:rPr>
              <w:t>Bens Móveis</w:t>
            </w:r>
          </w:p>
        </w:tc>
        <w:tc>
          <w:tcPr>
            <w:tcW w:w="1726" w:type="dxa"/>
          </w:tcPr>
          <w:p w14:paraId="6C86A410" w14:textId="77777777" w:rsidR="001A2339" w:rsidRPr="00E75705" w:rsidRDefault="001A2339" w:rsidP="00A708AD">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31/12/2022</w:t>
            </w:r>
          </w:p>
        </w:tc>
        <w:tc>
          <w:tcPr>
            <w:tcW w:w="1725" w:type="dxa"/>
          </w:tcPr>
          <w:p w14:paraId="0450D8FA" w14:textId="77777777" w:rsidR="001A2339" w:rsidRPr="00E75705" w:rsidRDefault="001A2339" w:rsidP="00A708AD">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31/12/2021</w:t>
            </w:r>
          </w:p>
        </w:tc>
        <w:tc>
          <w:tcPr>
            <w:tcW w:w="1034" w:type="dxa"/>
          </w:tcPr>
          <w:p w14:paraId="2CA0964F" w14:textId="77777777" w:rsidR="001A2339" w:rsidRPr="00E75705" w:rsidRDefault="001A2339" w:rsidP="00A708AD">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A</w:t>
            </w:r>
            <w:r>
              <w:rPr>
                <w:rFonts w:eastAsia="Calibri" w:cs="Calibri"/>
                <w:b/>
                <w:bCs/>
              </w:rPr>
              <w:t>V</w:t>
            </w:r>
            <w:r w:rsidRPr="00E75705">
              <w:rPr>
                <w:rFonts w:eastAsia="Calibri" w:cs="Calibri"/>
                <w:b/>
                <w:bCs/>
              </w:rPr>
              <w:t xml:space="preserve"> %</w:t>
            </w:r>
          </w:p>
        </w:tc>
      </w:tr>
      <w:tr w:rsidR="001A2339" w14:paraId="7FE768D2" w14:textId="77777777" w:rsidTr="00AB44C9">
        <w:trPr>
          <w:trHeight w:val="300"/>
        </w:trPr>
        <w:tc>
          <w:tcPr>
            <w:cnfStyle w:val="001000000000" w:firstRow="0" w:lastRow="0" w:firstColumn="1" w:lastColumn="0" w:oddVBand="0" w:evenVBand="0" w:oddHBand="0" w:evenHBand="0" w:firstRowFirstColumn="0" w:firstRowLastColumn="0" w:lastRowFirstColumn="0" w:lastRowLastColumn="0"/>
            <w:tcW w:w="2916" w:type="dxa"/>
          </w:tcPr>
          <w:p w14:paraId="1E77E80B" w14:textId="446D2BE2" w:rsidR="001A2339" w:rsidRPr="00FA580A" w:rsidRDefault="001A2339" w:rsidP="001A2339">
            <w:pPr>
              <w:spacing w:after="0" w:line="360" w:lineRule="auto"/>
              <w:rPr>
                <w:rFonts w:ascii="Calibri" w:eastAsia="Calibri" w:hAnsi="Calibri" w:cs="Calibri"/>
                <w:b w:val="0"/>
              </w:rPr>
            </w:pPr>
            <w:r>
              <w:rPr>
                <w:rFonts w:eastAsia="Calibri" w:cs="Calibri"/>
              </w:rPr>
              <w:t xml:space="preserve">  (-) Depreciação Acum</w:t>
            </w:r>
            <w:r w:rsidR="00AB44C9">
              <w:rPr>
                <w:rFonts w:eastAsia="Calibri" w:cs="Calibri"/>
              </w:rPr>
              <w:t>ulada</w:t>
            </w:r>
          </w:p>
        </w:tc>
        <w:tc>
          <w:tcPr>
            <w:tcW w:w="1726" w:type="dxa"/>
          </w:tcPr>
          <w:p w14:paraId="790DA6A4" w14:textId="23C60F24"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Pr>
                <w:rFonts w:eastAsia="Calibri" w:cs="Calibri"/>
              </w:rPr>
              <w:t>-19.623.410,17</w:t>
            </w:r>
          </w:p>
        </w:tc>
        <w:tc>
          <w:tcPr>
            <w:tcW w:w="1725" w:type="dxa"/>
          </w:tcPr>
          <w:p w14:paraId="1BBEC7B5" w14:textId="003FA33C"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Pr>
                <w:rFonts w:eastAsia="Calibri" w:cs="Calibri"/>
              </w:rPr>
              <w:t>-14.149.356,91</w:t>
            </w:r>
          </w:p>
        </w:tc>
        <w:tc>
          <w:tcPr>
            <w:tcW w:w="1034" w:type="dxa"/>
          </w:tcPr>
          <w:p w14:paraId="0100346A" w14:textId="20CC189C"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Pr>
                <w:rFonts w:ascii="Calibri" w:eastAsia="Calibri" w:hAnsi="Calibri" w:cs="Calibri"/>
              </w:rPr>
              <w:t>38,68</w:t>
            </w:r>
          </w:p>
        </w:tc>
      </w:tr>
      <w:tr w:rsidR="001A2339" w14:paraId="5388F2EA" w14:textId="77777777" w:rsidTr="00AB44C9">
        <w:trPr>
          <w:trHeight w:val="300"/>
        </w:trPr>
        <w:tc>
          <w:tcPr>
            <w:cnfStyle w:val="001000000000" w:firstRow="0" w:lastRow="0" w:firstColumn="1" w:lastColumn="0" w:oddVBand="0" w:evenVBand="0" w:oddHBand="0" w:evenHBand="0" w:firstRowFirstColumn="0" w:firstRowLastColumn="0" w:lastRowFirstColumn="0" w:lastRowLastColumn="0"/>
            <w:tcW w:w="2916" w:type="dxa"/>
          </w:tcPr>
          <w:p w14:paraId="6BAD47D5" w14:textId="438CB2C6" w:rsidR="001A2339" w:rsidRPr="00FA580A" w:rsidRDefault="001A2339" w:rsidP="001A2339">
            <w:pPr>
              <w:spacing w:after="0" w:line="360" w:lineRule="auto"/>
              <w:rPr>
                <w:rFonts w:ascii="Calibri" w:eastAsia="Calibri" w:hAnsi="Calibri" w:cs="Calibri"/>
                <w:b w:val="0"/>
              </w:rPr>
            </w:pPr>
            <w:r>
              <w:rPr>
                <w:rFonts w:eastAsia="Calibri" w:cs="Calibri"/>
              </w:rPr>
              <w:t>Bens Imóveis</w:t>
            </w:r>
          </w:p>
        </w:tc>
        <w:tc>
          <w:tcPr>
            <w:tcW w:w="1726" w:type="dxa"/>
          </w:tcPr>
          <w:p w14:paraId="71A9B262" w14:textId="77777777"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pPr>
          </w:p>
        </w:tc>
        <w:tc>
          <w:tcPr>
            <w:tcW w:w="1725" w:type="dxa"/>
          </w:tcPr>
          <w:p w14:paraId="162D4B1F" w14:textId="77777777"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1034" w:type="dxa"/>
          </w:tcPr>
          <w:p w14:paraId="62A79EEE" w14:textId="77777777"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r w:rsidR="001A2339" w14:paraId="12737889" w14:textId="77777777" w:rsidTr="00AB44C9">
        <w:trPr>
          <w:trHeight w:val="300"/>
        </w:trPr>
        <w:tc>
          <w:tcPr>
            <w:cnfStyle w:val="001000000000" w:firstRow="0" w:lastRow="0" w:firstColumn="1" w:lastColumn="0" w:oddVBand="0" w:evenVBand="0" w:oddHBand="0" w:evenHBand="0" w:firstRowFirstColumn="0" w:firstRowLastColumn="0" w:lastRowFirstColumn="0" w:lastRowLastColumn="0"/>
            <w:tcW w:w="2916" w:type="dxa"/>
          </w:tcPr>
          <w:p w14:paraId="47DBEEC6" w14:textId="3EC9B892" w:rsidR="001A2339" w:rsidRPr="00FA580A" w:rsidRDefault="001A2339" w:rsidP="001A2339">
            <w:pPr>
              <w:spacing w:after="0" w:line="360" w:lineRule="auto"/>
              <w:rPr>
                <w:rFonts w:ascii="Calibri" w:eastAsia="Calibri" w:hAnsi="Calibri" w:cs="Calibri"/>
                <w:b w:val="0"/>
              </w:rPr>
            </w:pPr>
            <w:r>
              <w:rPr>
                <w:rFonts w:eastAsia="Calibri" w:cs="Calibri"/>
              </w:rPr>
              <w:t xml:space="preserve">  (-) Depreciação Acum</w:t>
            </w:r>
            <w:r w:rsidR="00AB44C9">
              <w:rPr>
                <w:rFonts w:eastAsia="Calibri" w:cs="Calibri"/>
              </w:rPr>
              <w:t>ulada</w:t>
            </w:r>
          </w:p>
        </w:tc>
        <w:tc>
          <w:tcPr>
            <w:tcW w:w="1726" w:type="dxa"/>
          </w:tcPr>
          <w:p w14:paraId="5B63EDC1" w14:textId="2A75E11B"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eastAsia="Calibri" w:cs="Calibri"/>
              </w:rPr>
              <w:t>-34.893,23</w:t>
            </w:r>
          </w:p>
        </w:tc>
        <w:tc>
          <w:tcPr>
            <w:tcW w:w="1725" w:type="dxa"/>
          </w:tcPr>
          <w:p w14:paraId="23A4FE6D" w14:textId="07499D08"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eastAsia="Calibri" w:cs="Calibri"/>
              </w:rPr>
              <w:t>-1.087.804,10</w:t>
            </w:r>
          </w:p>
        </w:tc>
        <w:tc>
          <w:tcPr>
            <w:tcW w:w="1034" w:type="dxa"/>
          </w:tcPr>
          <w:p w14:paraId="0BC15200" w14:textId="2E19F5AD" w:rsidR="001A2339" w:rsidRPr="00E75705" w:rsidRDefault="001A2339" w:rsidP="001A233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eastAsia="Calibri" w:cs="Calibri"/>
              </w:rPr>
              <w:t>-96,79</w:t>
            </w:r>
          </w:p>
        </w:tc>
      </w:tr>
    </w:tbl>
    <w:p w14:paraId="755EA4DB" w14:textId="23D8435A" w:rsidR="00040F98" w:rsidRDefault="001A2339" w:rsidP="001A2339">
      <w:pPr>
        <w:ind w:firstLine="708"/>
        <w:jc w:val="both"/>
        <w:rPr>
          <w:rFonts w:ascii="Calibri" w:eastAsia="Calibri" w:hAnsi="Calibri" w:cs="Calibri"/>
          <w:color w:val="FF0000"/>
        </w:rPr>
      </w:pPr>
      <w:r>
        <w:rPr>
          <w:rFonts w:eastAsia="Calibri" w:cs="Calibri"/>
          <w:b/>
          <w:bCs/>
        </w:rPr>
        <w:t xml:space="preserve">         </w:t>
      </w:r>
      <w:r w:rsidR="00052BF1">
        <w:rPr>
          <w:rFonts w:eastAsia="Calibri" w:cs="Calibri"/>
          <w:b/>
          <w:bCs/>
        </w:rPr>
        <w:t xml:space="preserve">    </w:t>
      </w:r>
      <w:r w:rsidR="00040F98">
        <w:rPr>
          <w:rFonts w:eastAsia="Calibri" w:cs="Calibri"/>
          <w:sz w:val="18"/>
          <w:szCs w:val="18"/>
        </w:rPr>
        <w:t>Fonte: SIAFI</w:t>
      </w:r>
    </w:p>
    <w:p w14:paraId="76763FB4" w14:textId="4BFA7E4E" w:rsidR="00687116" w:rsidRPr="00687116" w:rsidRDefault="00320CE7">
      <w:pPr>
        <w:spacing w:line="360" w:lineRule="auto"/>
        <w:jc w:val="both"/>
        <w:rPr>
          <w:rFonts w:ascii="Calibri" w:eastAsia="Arial" w:hAnsi="Calibri" w:cs="Arial"/>
          <w:b/>
          <w:bCs/>
        </w:rPr>
      </w:pPr>
      <w:r>
        <w:br/>
      </w:r>
      <w:r w:rsidR="00687116" w:rsidRPr="00687116">
        <w:rPr>
          <w:rFonts w:ascii="Calibri" w:eastAsia="Arial" w:hAnsi="Calibri" w:cs="Arial"/>
          <w:b/>
          <w:bCs/>
        </w:rPr>
        <w:t>Bens Móveis</w:t>
      </w:r>
    </w:p>
    <w:p w14:paraId="2C904992" w14:textId="34C7F7B2" w:rsidR="00F65091" w:rsidRDefault="00716C2D" w:rsidP="00E27CB7">
      <w:pPr>
        <w:spacing w:line="276" w:lineRule="auto"/>
        <w:jc w:val="both"/>
        <w:rPr>
          <w:rFonts w:ascii="Calibri" w:hAnsi="Calibri"/>
        </w:rPr>
      </w:pPr>
      <w:r>
        <w:rPr>
          <w:rFonts w:ascii="Calibri" w:eastAsia="Arial" w:hAnsi="Calibri" w:cs="Arial"/>
        </w:rPr>
        <w:t xml:space="preserve">A metodologia de cálculo da depreciação adotada para bens móveis foi a das quotas constantes, também conhecida como depreciação linear. A vida útil econômica e o valor residual utilizado para os bens do TSE foram aqueles constantes da tabela do Manual Siafi (as taxas de depreciação foram calculadas dividindo-se o valor depreciável do bem pela sua vida útil, obtendo-se a taxa anual de depreciação daquele bem). </w:t>
      </w:r>
      <w:r>
        <w:rPr>
          <w:rFonts w:ascii="Calibri" w:eastAsia="Arial" w:hAnsi="Calibri" w:cs="Arial"/>
          <w:color w:val="000000" w:themeColor="text1"/>
        </w:rPr>
        <w:t xml:space="preserve">A exceção se dá em relação às urnas eletrônicas, classificadas como equipamentos de processamento de dados, mas que possuem vida útil distinta daquela prevista na tabela da </w:t>
      </w:r>
      <w:proofErr w:type="spellStart"/>
      <w:r>
        <w:rPr>
          <w:rFonts w:ascii="Calibri" w:eastAsia="Arial" w:hAnsi="Calibri" w:cs="Arial"/>
          <w:color w:val="000000" w:themeColor="text1"/>
        </w:rPr>
        <w:t>Macrofunção</w:t>
      </w:r>
      <w:proofErr w:type="spellEnd"/>
      <w:r>
        <w:rPr>
          <w:rFonts w:ascii="Calibri" w:eastAsia="Arial" w:hAnsi="Calibri" w:cs="Arial"/>
          <w:color w:val="000000" w:themeColor="text1"/>
        </w:rPr>
        <w:t xml:space="preserve"> Siafi, visto que são bens singulares na Justiça Eleitoral e possuem vida útil estimada de 10 anos, conforme estudo técnico realizado por equipe do Tribunal Superior Eleitoral. </w:t>
      </w:r>
    </w:p>
    <w:p w14:paraId="36632E59" w14:textId="77777777" w:rsidR="00F65091" w:rsidRDefault="00716C2D" w:rsidP="00E27CB7">
      <w:pPr>
        <w:spacing w:line="276" w:lineRule="auto"/>
        <w:jc w:val="both"/>
      </w:pPr>
      <w:r>
        <w:rPr>
          <w:rFonts w:ascii="Calibri" w:eastAsia="Calibri" w:hAnsi="Calibri" w:cs="Calibri"/>
          <w:color w:val="000000"/>
        </w:rPr>
        <w:t>Em relação a Depreciação Acumulada para os Bens Móveis, em 2022 ocorreu um acréscimo de 38,68% em relação ao exercício anterior.</w:t>
      </w:r>
    </w:p>
    <w:p w14:paraId="77ADC365" w14:textId="77777777" w:rsidR="00D11789" w:rsidRDefault="00D11789">
      <w:pPr>
        <w:jc w:val="both"/>
        <w:rPr>
          <w:rFonts w:eastAsia="Calibri" w:cs="Calibri"/>
          <w:b/>
          <w:bCs/>
          <w:color w:val="000000"/>
        </w:rPr>
      </w:pPr>
    </w:p>
    <w:p w14:paraId="68E5C64A" w14:textId="1B4315F3" w:rsidR="00E43CB6" w:rsidRPr="00E43CB6" w:rsidRDefault="00E43CB6">
      <w:pPr>
        <w:jc w:val="both"/>
        <w:rPr>
          <w:rFonts w:eastAsia="Calibri" w:cs="Calibri"/>
          <w:b/>
          <w:bCs/>
          <w:color w:val="000000"/>
        </w:rPr>
      </w:pPr>
      <w:r>
        <w:rPr>
          <w:rFonts w:eastAsia="Calibri" w:cs="Calibri"/>
          <w:b/>
          <w:bCs/>
          <w:color w:val="000000"/>
        </w:rPr>
        <w:t>Bens Imóveis</w:t>
      </w:r>
    </w:p>
    <w:p w14:paraId="58040F5C" w14:textId="342A6A3F" w:rsidR="00F80F80" w:rsidRPr="002A7134" w:rsidRDefault="00716C2D" w:rsidP="00E27CB7">
      <w:pPr>
        <w:spacing w:line="276" w:lineRule="auto"/>
        <w:jc w:val="both"/>
        <w:rPr>
          <w:rFonts w:eastAsia="Calibri" w:cs="Calibri"/>
          <w:color w:val="CE181E"/>
        </w:rPr>
      </w:pPr>
      <w:r w:rsidRPr="004F10F1">
        <w:rPr>
          <w:rFonts w:ascii="Calibri" w:eastAsia="Calibri" w:hAnsi="Calibri" w:cs="Calibri"/>
        </w:rPr>
        <w:t xml:space="preserve">Quanto ao cálculo do valor da </w:t>
      </w:r>
      <w:r w:rsidR="00F80F80" w:rsidRPr="004F10F1">
        <w:rPr>
          <w:rFonts w:ascii="Calibri" w:eastAsia="Calibri" w:hAnsi="Calibri" w:cs="Calibri"/>
        </w:rPr>
        <w:t>“</w:t>
      </w:r>
      <w:r w:rsidRPr="004F10F1">
        <w:rPr>
          <w:rFonts w:ascii="Calibri" w:eastAsia="Calibri" w:hAnsi="Calibri" w:cs="Calibri"/>
        </w:rPr>
        <w:t>Depreciação Acumulada de Bens Imóveis</w:t>
      </w:r>
      <w:r w:rsidR="00F80F80" w:rsidRPr="004F10F1">
        <w:rPr>
          <w:rFonts w:ascii="Calibri" w:eastAsia="Calibri" w:hAnsi="Calibri" w:cs="Calibri"/>
        </w:rPr>
        <w:t>”</w:t>
      </w:r>
      <w:r w:rsidRPr="004F10F1">
        <w:rPr>
          <w:rFonts w:ascii="Calibri" w:eastAsia="Calibri" w:hAnsi="Calibri" w:cs="Calibri"/>
        </w:rPr>
        <w:t xml:space="preserve">, este é feito </w:t>
      </w:r>
      <w:r w:rsidRPr="004F10F1">
        <w:rPr>
          <w:rFonts w:ascii="Calibri" w:eastAsia="Calibri" w:hAnsi="Calibri" w:cs="Calibri"/>
          <w:u w:val="single"/>
        </w:rPr>
        <w:t>mensalmente e de forma automática</w:t>
      </w:r>
      <w:r w:rsidRPr="004F10F1">
        <w:rPr>
          <w:rFonts w:ascii="Calibri" w:eastAsia="Calibri" w:hAnsi="Calibri" w:cs="Calibri"/>
        </w:rPr>
        <w:t>, sendo realizado pela Secretaria do Patrimônio da União – SPU e registrado pela Secretaria do Tesouro Nacional - STN na contabilidade dos órgãos federais</w:t>
      </w:r>
      <w:r w:rsidR="00F547F2" w:rsidRPr="004F10F1">
        <w:rPr>
          <w:rFonts w:ascii="Calibri" w:eastAsia="Calibri" w:hAnsi="Calibri" w:cs="Calibri"/>
        </w:rPr>
        <w:t xml:space="preserve">, ou seja, sob </w:t>
      </w:r>
      <w:r w:rsidR="00F547F2" w:rsidRPr="004F10F1">
        <w:rPr>
          <w:rFonts w:ascii="Calibri" w:eastAsia="Calibri" w:hAnsi="Calibri" w:cs="Calibri"/>
          <w:u w:val="single"/>
        </w:rPr>
        <w:t>competência e responsabilidade do SPU e STN</w:t>
      </w:r>
      <w:r w:rsidR="00F547F2" w:rsidRPr="004F10F1">
        <w:rPr>
          <w:rFonts w:ascii="Calibri" w:eastAsia="Calibri" w:hAnsi="Calibri" w:cs="Calibri"/>
        </w:rPr>
        <w:t>.</w:t>
      </w:r>
    </w:p>
    <w:p w14:paraId="241C4B93" w14:textId="77777777" w:rsidR="00962B1D" w:rsidRDefault="00716C2D" w:rsidP="00E27CB7">
      <w:pPr>
        <w:spacing w:line="276" w:lineRule="auto"/>
        <w:jc w:val="both"/>
        <w:rPr>
          <w:rFonts w:cstheme="minorHAnsi"/>
        </w:rPr>
      </w:pPr>
      <w:r w:rsidRPr="004F10F1">
        <w:rPr>
          <w:rFonts w:ascii="Calibri" w:eastAsia="Calibri" w:hAnsi="Calibri" w:cs="Calibri"/>
        </w:rPr>
        <w:t>A Portaria Conjunta STN/SPU nº 3/2014 dispõe sobre procedimentos e requisitos gerais para mensuração, atualização, reavaliação e depreciação dos bens imóveis da União, autarquias e fundações públicas federais controlados pelo</w:t>
      </w:r>
      <w:r w:rsidR="00D20C5C" w:rsidRPr="004F10F1">
        <w:rPr>
          <w:rFonts w:ascii="Calibri" w:eastAsia="Calibri" w:hAnsi="Calibri" w:cs="Calibri"/>
        </w:rPr>
        <w:t xml:space="preserve"> </w:t>
      </w:r>
      <w:r w:rsidR="00D20C5C" w:rsidRPr="004F10F1">
        <w:rPr>
          <w:rFonts w:cstheme="minorHAnsi"/>
          <w:shd w:val="clear" w:color="auto" w:fill="FFFFFF"/>
        </w:rPr>
        <w:t>Sistema de Gerenciamento dos Imóveis de Uso Especial -</w:t>
      </w:r>
      <w:r w:rsidRPr="004F10F1">
        <w:rPr>
          <w:rFonts w:eastAsia="Calibri" w:cstheme="minorHAnsi"/>
        </w:rPr>
        <w:t xml:space="preserve"> </w:t>
      </w:r>
      <w:proofErr w:type="spellStart"/>
      <w:r w:rsidRPr="004F10F1">
        <w:rPr>
          <w:rFonts w:eastAsia="Calibri" w:cstheme="minorHAnsi"/>
        </w:rPr>
        <w:t>SPIUnet</w:t>
      </w:r>
      <w:proofErr w:type="spellEnd"/>
      <w:r w:rsidRPr="004F10F1">
        <w:rPr>
          <w:rFonts w:eastAsia="Calibri" w:cstheme="minorHAnsi"/>
        </w:rPr>
        <w:t xml:space="preserve">. </w:t>
      </w:r>
    </w:p>
    <w:p w14:paraId="789C2C32" w14:textId="333F729A" w:rsidR="00F65091" w:rsidRPr="00962B1D" w:rsidRDefault="00716C2D" w:rsidP="00E27CB7">
      <w:pPr>
        <w:spacing w:line="276" w:lineRule="auto"/>
        <w:jc w:val="both"/>
        <w:rPr>
          <w:rFonts w:cstheme="minorHAnsi"/>
        </w:rPr>
      </w:pPr>
      <w:r w:rsidRPr="004F10F1">
        <w:rPr>
          <w:rFonts w:ascii="Calibri" w:eastAsia="Calibri" w:hAnsi="Calibri" w:cs="Calibri"/>
        </w:rPr>
        <w:t xml:space="preserve">O </w:t>
      </w:r>
      <w:proofErr w:type="spellStart"/>
      <w:r w:rsidRPr="004F10F1">
        <w:rPr>
          <w:rFonts w:ascii="Calibri" w:eastAsia="Calibri" w:hAnsi="Calibri" w:cs="Calibri"/>
        </w:rPr>
        <w:t>SPIUnet</w:t>
      </w:r>
      <w:proofErr w:type="spellEnd"/>
      <w:r w:rsidRPr="004F10F1">
        <w:rPr>
          <w:rFonts w:ascii="Calibri" w:eastAsia="Calibri" w:hAnsi="Calibri" w:cs="Calibri"/>
        </w:rPr>
        <w:t xml:space="preserve"> é um sistema de cadastro e controle de imóveis da União e de terceiros utilizados pelos Órgãos Federais, que mantém atualizado o valor patrimonial dos imóveis. O sistema é interligado ao SIAFI para o reconhecimento contábil das adições, baixas e transferências, exceto a depreciação, que por sua vez é registrado no SIAFI por meio de um arquivo que é encaminhado pela SPU </w:t>
      </w:r>
      <w:r w:rsidR="006F4B3D" w:rsidRPr="004F10F1">
        <w:rPr>
          <w:rFonts w:ascii="Calibri" w:eastAsia="Calibri" w:hAnsi="Calibri" w:cs="Calibri"/>
        </w:rPr>
        <w:t>para a</w:t>
      </w:r>
      <w:r w:rsidRPr="004F10F1">
        <w:rPr>
          <w:rFonts w:ascii="Calibri" w:eastAsia="Calibri" w:hAnsi="Calibri" w:cs="Calibri"/>
        </w:rPr>
        <w:t xml:space="preserve"> STN.</w:t>
      </w:r>
      <w:r w:rsidR="000C0B8A" w:rsidRPr="004F10F1">
        <w:rPr>
          <w:rFonts w:ascii="Calibri" w:hAnsi="Calibri"/>
        </w:rPr>
        <w:t xml:space="preserve"> </w:t>
      </w:r>
      <w:r w:rsidRPr="004F10F1">
        <w:rPr>
          <w:rFonts w:ascii="Calibri" w:eastAsia="Calibri" w:hAnsi="Calibri" w:cs="Calibri"/>
        </w:rPr>
        <w:t>No caso de bens reavaliados, independentemente do fundamento, a depreciação acumulada deve ser zerada e reiniciada a partir do novo valor.</w:t>
      </w:r>
    </w:p>
    <w:p w14:paraId="42E6D0BE" w14:textId="77777777" w:rsidR="000A0508" w:rsidRDefault="000A0508" w:rsidP="00E27CB7">
      <w:pPr>
        <w:spacing w:line="276" w:lineRule="auto"/>
        <w:jc w:val="both"/>
        <w:rPr>
          <w:rFonts w:eastAsia="Calibri" w:cs="Calibri"/>
          <w:color w:val="000000"/>
        </w:rPr>
      </w:pPr>
      <w:r>
        <w:rPr>
          <w:rFonts w:eastAsia="Calibri" w:cs="Calibri"/>
          <w:color w:val="000000"/>
        </w:rPr>
        <w:lastRenderedPageBreak/>
        <w:t xml:space="preserve">Em relação a conta Depreciação Acumulada para os Bens Imóveis, esta sofreu um ajuste em 2022 que resultou em uma baixa no percentual de -96,79%, em relação a dezembro de 2021. </w:t>
      </w:r>
    </w:p>
    <w:p w14:paraId="34985FF0" w14:textId="06EE4023" w:rsidR="003C1F40" w:rsidRPr="00005B40" w:rsidRDefault="000A0508" w:rsidP="00E27CB7">
      <w:pPr>
        <w:spacing w:line="276" w:lineRule="auto"/>
        <w:jc w:val="both"/>
        <w:rPr>
          <w:rFonts w:eastAsia="Calibri" w:cs="Calibri"/>
          <w:color w:val="CE181E"/>
        </w:rPr>
      </w:pPr>
      <w:r>
        <w:rPr>
          <w:rFonts w:eastAsia="Calibri" w:cs="Calibri"/>
          <w:color w:val="000000"/>
        </w:rPr>
        <w:t xml:space="preserve">Em 30/06/202, a Coordenação Geral de Contabilidade – CCONT efetuou, diretamente, lançamento na conta de Depreciação Acumulada de Bens Imóveis – 123810200, no valor de (R$ 1.083.633,40), referente à ajuste da depreciação de bens imóveis cadastrados no </w:t>
      </w:r>
      <w:proofErr w:type="spellStart"/>
      <w:r>
        <w:rPr>
          <w:rFonts w:eastAsia="Calibri" w:cs="Calibri"/>
          <w:color w:val="000000"/>
        </w:rPr>
        <w:t>SPIUnet</w:t>
      </w:r>
      <w:proofErr w:type="spellEnd"/>
      <w:r>
        <w:rPr>
          <w:rFonts w:eastAsia="Calibri" w:cs="Calibri"/>
          <w:color w:val="000000"/>
        </w:rPr>
        <w:t xml:space="preserve"> (documento SIAFI 2022NL017641 emitido pela UG170999).</w:t>
      </w:r>
      <w:r w:rsidR="00005B40">
        <w:rPr>
          <w:rFonts w:eastAsia="Calibri" w:cs="Calibri"/>
          <w:color w:val="CE181E"/>
        </w:rPr>
        <w:br/>
      </w:r>
      <w:r w:rsidR="00005B40">
        <w:rPr>
          <w:rFonts w:eastAsia="Calibri" w:cs="Calibri"/>
          <w:color w:val="CE181E"/>
        </w:rPr>
        <w:br/>
      </w:r>
      <w:r w:rsidR="003B396F">
        <w:t>Quanto</w:t>
      </w:r>
      <w:r w:rsidR="00DF2425">
        <w:t xml:space="preserve"> a conta de </w:t>
      </w:r>
      <w:r w:rsidR="00DF2425" w:rsidRPr="00005B40">
        <w:rPr>
          <w:u w:val="single"/>
        </w:rPr>
        <w:t>“Instalações”</w:t>
      </w:r>
      <w:r w:rsidR="003B396F">
        <w:t>, es</w:t>
      </w:r>
      <w:r w:rsidR="00FD6EFC">
        <w:t>ta</w:t>
      </w:r>
      <w:r w:rsidR="00DF2425">
        <w:t xml:space="preserve"> corresponde às benfeitorias relevantes efetuadas em imóveis e inerentes a este, como instalação de elevadores, salas cofres, painéis de energia solar, sistema de detecção e alarme de incêndio, grupo gerador, sistema contra descargas atmosféricas etc. </w:t>
      </w:r>
    </w:p>
    <w:p w14:paraId="3D6CEE09" w14:textId="5593F437" w:rsidR="00DF2425" w:rsidRPr="0065486A" w:rsidRDefault="00DF2425" w:rsidP="00E27CB7">
      <w:pPr>
        <w:spacing w:line="276" w:lineRule="auto"/>
        <w:jc w:val="both"/>
      </w:pPr>
      <w:r w:rsidRPr="0065486A">
        <w:t xml:space="preserve">No entanto, o Manual de Contabilidade Aplicado ao Setor Público MCASP </w:t>
      </w:r>
      <w:r w:rsidR="007A024C" w:rsidRPr="0065486A">
        <w:rPr>
          <w:u w:val="single"/>
        </w:rPr>
        <w:t>não</w:t>
      </w:r>
      <w:r w:rsidRPr="0065486A">
        <w:t xml:space="preserve"> estabelece roteiro ou procedimento de depreciação padronizado da conta de Instalações para o âmbito da Administração Pública Federal. A ausência dessa depreciação exclusiva de instalações poderá ser sanada no processo de baixa da conta de instalações e respectiva incorporação aos imóveis aos quais pertencem, quando do processo de reavaliação desses imóveis, con</w:t>
      </w:r>
      <w:r w:rsidR="003E28EA" w:rsidRPr="0065486A">
        <w:t>forme</w:t>
      </w:r>
      <w:r w:rsidRPr="0065486A">
        <w:t xml:space="preserve"> a orientação de Bens Imóveis - SOF/TSE nº 17 de 2022.</w:t>
      </w:r>
    </w:p>
    <w:p w14:paraId="0FAD9C1C" w14:textId="388212C2" w:rsidR="00F65091" w:rsidRPr="00273D37" w:rsidRDefault="00651268" w:rsidP="00E27CB7">
      <w:pPr>
        <w:spacing w:line="276" w:lineRule="auto"/>
        <w:jc w:val="both"/>
        <w:rPr>
          <w:rFonts w:ascii="Calibri" w:hAnsi="Calibri"/>
        </w:rPr>
      </w:pPr>
      <w:r w:rsidRPr="00273D37">
        <w:rPr>
          <w:rFonts w:ascii="Calibri" w:eastAsia="Arial" w:hAnsi="Calibri" w:cs="Arial"/>
        </w:rPr>
        <w:t xml:space="preserve">Em relação </w:t>
      </w:r>
      <w:r w:rsidR="000E73BC">
        <w:rPr>
          <w:rFonts w:ascii="Calibri" w:eastAsia="Arial" w:hAnsi="Calibri" w:cs="Arial"/>
        </w:rPr>
        <w:t>aos</w:t>
      </w:r>
      <w:r w:rsidRPr="00273D37">
        <w:rPr>
          <w:rFonts w:ascii="Calibri" w:eastAsia="Arial" w:hAnsi="Calibri" w:cs="Arial"/>
        </w:rPr>
        <w:t xml:space="preserve"> “Terrenos”, o</w:t>
      </w:r>
      <w:r w:rsidR="00716C2D" w:rsidRPr="00273D37">
        <w:rPr>
          <w:rFonts w:ascii="Calibri" w:eastAsia="Arial" w:hAnsi="Calibri" w:cs="Arial"/>
        </w:rPr>
        <w:t xml:space="preserve"> Sistema </w:t>
      </w:r>
      <w:proofErr w:type="spellStart"/>
      <w:r w:rsidR="00716C2D" w:rsidRPr="00273D37">
        <w:rPr>
          <w:rFonts w:ascii="Calibri" w:eastAsia="Arial" w:hAnsi="Calibri" w:cs="Arial"/>
        </w:rPr>
        <w:t>SPIUnet</w:t>
      </w:r>
      <w:proofErr w:type="spellEnd"/>
      <w:r w:rsidR="00716C2D" w:rsidRPr="00273D37">
        <w:rPr>
          <w:rFonts w:ascii="Calibri" w:eastAsia="Arial" w:hAnsi="Calibri" w:cs="Arial"/>
        </w:rPr>
        <w:t xml:space="preserve">, até o momento, registra no SIAFI o valor na conta contábil de Terrenos apenas se o imóvel estiver nessa condição e não possuir nenhuma edificação. Por exemplo, quando um Tribunal adquire um terreno para uma futura construção, o saldo é registrado na conta contábil de </w:t>
      </w:r>
      <w:r w:rsidR="00B57801" w:rsidRPr="00273D37">
        <w:rPr>
          <w:rFonts w:ascii="Calibri" w:eastAsia="Arial" w:hAnsi="Calibri" w:cs="Arial"/>
        </w:rPr>
        <w:t>t</w:t>
      </w:r>
      <w:r w:rsidR="00716C2D" w:rsidRPr="00273D37">
        <w:rPr>
          <w:rFonts w:ascii="Calibri" w:eastAsia="Arial" w:hAnsi="Calibri" w:cs="Arial"/>
        </w:rPr>
        <w:t>errenos</w:t>
      </w:r>
      <w:r w:rsidR="0028040D">
        <w:rPr>
          <w:rFonts w:ascii="Calibri" w:eastAsia="Arial" w:hAnsi="Calibri" w:cs="Arial"/>
        </w:rPr>
        <w:t>.</w:t>
      </w:r>
      <w:r w:rsidR="00716C2D" w:rsidRPr="00273D37">
        <w:rPr>
          <w:rFonts w:ascii="Calibri" w:eastAsia="Arial" w:hAnsi="Calibri" w:cs="Arial"/>
        </w:rPr>
        <w:t xml:space="preserve"> Quando ocorre a construção do imóvel, </w:t>
      </w:r>
      <w:r w:rsidR="00A463B3" w:rsidRPr="00273D37">
        <w:rPr>
          <w:rFonts w:ascii="Calibri" w:eastAsia="Arial" w:hAnsi="Calibri" w:cs="Arial"/>
        </w:rPr>
        <w:t>é procedida a</w:t>
      </w:r>
      <w:r w:rsidR="00716C2D" w:rsidRPr="00273D37">
        <w:rPr>
          <w:rFonts w:ascii="Calibri" w:eastAsia="Arial" w:hAnsi="Calibri" w:cs="Arial"/>
        </w:rPr>
        <w:t xml:space="preserve"> altera</w:t>
      </w:r>
      <w:r w:rsidR="00A463B3" w:rsidRPr="00273D37">
        <w:rPr>
          <w:rFonts w:ascii="Calibri" w:eastAsia="Arial" w:hAnsi="Calibri" w:cs="Arial"/>
        </w:rPr>
        <w:t>ção da destinação do imóvel para conta “Edifícios”</w:t>
      </w:r>
      <w:r w:rsidR="007423A9" w:rsidRPr="00273D37">
        <w:rPr>
          <w:rFonts w:ascii="Calibri" w:eastAsia="Arial" w:hAnsi="Calibri" w:cs="Arial"/>
        </w:rPr>
        <w:t xml:space="preserve"> no SIAFI</w:t>
      </w:r>
      <w:r w:rsidR="00716C2D" w:rsidRPr="00273D37">
        <w:rPr>
          <w:rFonts w:ascii="Calibri" w:eastAsia="Arial" w:hAnsi="Calibri" w:cs="Arial"/>
        </w:rPr>
        <w:t xml:space="preserve">. </w:t>
      </w:r>
      <w:r w:rsidR="00CF7D40" w:rsidRPr="00273D37">
        <w:rPr>
          <w:rFonts w:ascii="Calibri" w:hAnsi="Calibri"/>
        </w:rPr>
        <w:t xml:space="preserve"> </w:t>
      </w:r>
      <w:r w:rsidR="00716C2D" w:rsidRPr="00273D37">
        <w:rPr>
          <w:rFonts w:ascii="Calibri" w:eastAsia="Arial" w:hAnsi="Calibri" w:cs="Arial"/>
        </w:rPr>
        <w:t>Para a contabilização em separado, no S</w:t>
      </w:r>
      <w:r w:rsidR="000048D4" w:rsidRPr="00273D37">
        <w:rPr>
          <w:rFonts w:ascii="Calibri" w:eastAsia="Arial" w:hAnsi="Calibri" w:cs="Arial"/>
        </w:rPr>
        <w:t>IAFI</w:t>
      </w:r>
      <w:r w:rsidR="00716C2D" w:rsidRPr="00273D37">
        <w:rPr>
          <w:rFonts w:ascii="Calibri" w:eastAsia="Arial" w:hAnsi="Calibri" w:cs="Arial"/>
        </w:rPr>
        <w:t xml:space="preserve">, do valor do terreno e da edificação de um mesmo imóvel, haveria a necessidade de ações da Secretaria de Patrimônio da União e da Secretaria do Tesouro Nacional no sentido de alterar os parâmetros do atual </w:t>
      </w:r>
      <w:proofErr w:type="spellStart"/>
      <w:r w:rsidR="00716C2D" w:rsidRPr="00273D37">
        <w:rPr>
          <w:rFonts w:ascii="Calibri" w:eastAsia="Arial" w:hAnsi="Calibri" w:cs="Arial"/>
        </w:rPr>
        <w:t>SPIUnet</w:t>
      </w:r>
      <w:proofErr w:type="spellEnd"/>
      <w:r w:rsidR="00716C2D" w:rsidRPr="00273D37">
        <w:rPr>
          <w:rFonts w:ascii="Calibri" w:eastAsia="Arial" w:hAnsi="Calibri" w:cs="Arial"/>
        </w:rPr>
        <w:t xml:space="preserve">. </w:t>
      </w:r>
    </w:p>
    <w:p w14:paraId="1099E42D" w14:textId="7AD34D8A" w:rsidR="00AC3F89" w:rsidRPr="00273D37" w:rsidRDefault="00AC3F89" w:rsidP="00E27CB7">
      <w:pPr>
        <w:spacing w:line="276" w:lineRule="auto"/>
        <w:jc w:val="both"/>
        <w:rPr>
          <w:rFonts w:ascii="Calibri" w:hAnsi="Calibri"/>
        </w:rPr>
      </w:pPr>
      <w:r w:rsidRPr="00273D37">
        <w:rPr>
          <w:rFonts w:ascii="Calibri" w:eastAsia="Arial" w:hAnsi="Calibri" w:cs="Arial"/>
        </w:rPr>
        <w:t xml:space="preserve">A informação quanto ao valor do terreno dos imóveis pode ser consultada no sistema </w:t>
      </w:r>
      <w:proofErr w:type="spellStart"/>
      <w:r w:rsidRPr="00273D37">
        <w:rPr>
          <w:rFonts w:ascii="Calibri" w:eastAsia="Arial" w:hAnsi="Calibri" w:cs="Arial"/>
        </w:rPr>
        <w:t>SPIUnet</w:t>
      </w:r>
      <w:proofErr w:type="spellEnd"/>
      <w:r w:rsidRPr="00273D37">
        <w:rPr>
          <w:rFonts w:ascii="Calibri" w:eastAsia="Arial" w:hAnsi="Calibri" w:cs="Arial"/>
        </w:rPr>
        <w:t xml:space="preserve">, sendo, inclusive, o valor do terreno subtraído para fins do cálculo da depreciação de acordo com as normas contábeis, como se observa no item 5.2 da </w:t>
      </w:r>
      <w:proofErr w:type="spellStart"/>
      <w:r w:rsidRPr="00273D37">
        <w:rPr>
          <w:rFonts w:ascii="Calibri" w:eastAsia="Arial" w:hAnsi="Calibri" w:cs="Arial"/>
        </w:rPr>
        <w:t>Macrofunção</w:t>
      </w:r>
      <w:proofErr w:type="spellEnd"/>
      <w:r w:rsidRPr="00273D37">
        <w:rPr>
          <w:rFonts w:ascii="Calibri" w:eastAsia="Arial" w:hAnsi="Calibri" w:cs="Arial"/>
        </w:rPr>
        <w:t xml:space="preserve"> Siafi 020330.</w:t>
      </w:r>
    </w:p>
    <w:p w14:paraId="11AD6789" w14:textId="4E007C87" w:rsidR="00F65091" w:rsidRDefault="00716C2D" w:rsidP="00E27CB7">
      <w:pPr>
        <w:spacing w:line="276" w:lineRule="auto"/>
        <w:jc w:val="both"/>
        <w:rPr>
          <w:rFonts w:ascii="Calibri" w:eastAsia="Arial" w:hAnsi="Calibri" w:cs="Arial"/>
          <w:color w:val="000000" w:themeColor="text1"/>
        </w:rPr>
      </w:pPr>
      <w:r>
        <w:rPr>
          <w:rFonts w:ascii="Calibri" w:eastAsia="Arial" w:hAnsi="Calibri" w:cs="Arial"/>
          <w:color w:val="000000" w:themeColor="text1"/>
        </w:rPr>
        <w:t xml:space="preserve">No final do exercício de 2022, os valores individualizados dos terrenos e de edifícios podem ser visualizados no   relatório emitido </w:t>
      </w:r>
      <w:r w:rsidR="00E21F51">
        <w:rPr>
          <w:rFonts w:ascii="Calibri" w:eastAsia="Arial" w:hAnsi="Calibri" w:cs="Arial"/>
          <w:color w:val="000000" w:themeColor="text1"/>
        </w:rPr>
        <w:t>pelo</w:t>
      </w:r>
      <w:r>
        <w:rPr>
          <w:rFonts w:ascii="Calibri" w:eastAsia="Arial" w:hAnsi="Calibri" w:cs="Arial"/>
          <w:color w:val="000000" w:themeColor="text1"/>
        </w:rPr>
        <w:t xml:space="preserve"> sistema </w:t>
      </w:r>
      <w:proofErr w:type="spellStart"/>
      <w:r>
        <w:rPr>
          <w:rFonts w:ascii="Calibri" w:eastAsia="Arial" w:hAnsi="Calibri" w:cs="Arial"/>
          <w:color w:val="000000" w:themeColor="text1"/>
        </w:rPr>
        <w:t>SPIUnet</w:t>
      </w:r>
      <w:proofErr w:type="spellEnd"/>
      <w:r>
        <w:rPr>
          <w:rFonts w:ascii="Calibri" w:eastAsia="Arial" w:hAnsi="Calibri" w:cs="Arial"/>
          <w:color w:val="000000" w:themeColor="text1"/>
        </w:rPr>
        <w:t xml:space="preserve">.  Ainda, como se observa na tabela a seguir, o valor de R$ 68.783.239,65, referente ao total dos Imóveis (terrenos e benfeitorias) constante do sistema </w:t>
      </w:r>
      <w:proofErr w:type="spellStart"/>
      <w:r>
        <w:rPr>
          <w:rFonts w:ascii="Calibri" w:eastAsia="Arial" w:hAnsi="Calibri" w:cs="Arial"/>
          <w:color w:val="000000" w:themeColor="text1"/>
        </w:rPr>
        <w:t>SIPUnet</w:t>
      </w:r>
      <w:proofErr w:type="spellEnd"/>
      <w:r>
        <w:rPr>
          <w:rFonts w:ascii="Calibri" w:eastAsia="Arial" w:hAnsi="Calibri" w:cs="Arial"/>
          <w:color w:val="000000" w:themeColor="text1"/>
        </w:rPr>
        <w:t xml:space="preserve"> está de acordo com os valores dos Imóveis registrados no sistema SIAFI</w:t>
      </w:r>
      <w:r w:rsidR="00B37379">
        <w:rPr>
          <w:rFonts w:ascii="Calibri" w:eastAsia="Arial" w:hAnsi="Calibri" w:cs="Arial"/>
          <w:color w:val="000000" w:themeColor="text1"/>
        </w:rPr>
        <w:t>.</w:t>
      </w:r>
    </w:p>
    <w:p w14:paraId="4469BF6C" w14:textId="5841BBBC" w:rsidR="00F65091" w:rsidRPr="00D90558" w:rsidRDefault="00716C2D">
      <w:pPr>
        <w:jc w:val="center"/>
        <w:rPr>
          <w:rFonts w:ascii="Calibri" w:eastAsia="Calibri" w:hAnsi="Calibri" w:cs="Calibri"/>
          <w:b/>
          <w:bCs/>
          <w:color w:val="FF0000"/>
        </w:rPr>
      </w:pPr>
      <w:r w:rsidRPr="00D90558">
        <w:rPr>
          <w:rFonts w:eastAsia="Calibri" w:cs="Calibri"/>
          <w:b/>
          <w:bCs/>
        </w:rPr>
        <w:t>Tabela 0</w:t>
      </w:r>
      <w:r w:rsidR="001B0D32" w:rsidRPr="00D90558">
        <w:rPr>
          <w:rFonts w:eastAsia="Calibri" w:cs="Calibri"/>
          <w:b/>
          <w:bCs/>
        </w:rPr>
        <w:t>7</w:t>
      </w:r>
      <w:r w:rsidRPr="00D90558">
        <w:rPr>
          <w:rFonts w:eastAsia="Calibri" w:cs="Calibri"/>
          <w:b/>
          <w:bCs/>
        </w:rPr>
        <w:t xml:space="preserve"> – Bens Imóveis Registrados R$</w:t>
      </w:r>
    </w:p>
    <w:tbl>
      <w:tblPr>
        <w:tblStyle w:val="ListaColorida-nfase6"/>
        <w:tblW w:w="7765" w:type="dxa"/>
        <w:tblInd w:w="1082" w:type="dxa"/>
        <w:tblLayout w:type="fixed"/>
        <w:tblLook w:val="06A0" w:firstRow="1" w:lastRow="0" w:firstColumn="1" w:lastColumn="0" w:noHBand="1" w:noVBand="1"/>
      </w:tblPr>
      <w:tblGrid>
        <w:gridCol w:w="2184"/>
        <w:gridCol w:w="1351"/>
        <w:gridCol w:w="1350"/>
        <w:gridCol w:w="1439"/>
        <w:gridCol w:w="1441"/>
      </w:tblGrid>
      <w:tr w:rsidR="00F65091" w14:paraId="7EF30D1C" w14:textId="77777777" w:rsidTr="00086D7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84" w:type="dxa"/>
            <w:vMerge w:val="restart"/>
            <w:shd w:val="clear" w:color="auto" w:fill="D9E2F3" w:themeFill="accent1" w:themeFillTint="33"/>
          </w:tcPr>
          <w:p w14:paraId="27E1651B" w14:textId="77777777" w:rsidR="00F65091" w:rsidRPr="00B42C10" w:rsidRDefault="00716C2D" w:rsidP="0087297B">
            <w:pPr>
              <w:spacing w:after="0" w:line="360" w:lineRule="auto"/>
              <w:jc w:val="center"/>
              <w:rPr>
                <w:rFonts w:ascii="Arial" w:eastAsia="Arial" w:hAnsi="Arial" w:cs="Arial"/>
                <w:bCs w:val="0"/>
                <w:color w:val="000000"/>
                <w:sz w:val="16"/>
                <w:szCs w:val="24"/>
              </w:rPr>
            </w:pPr>
            <w:r w:rsidRPr="00B42C10">
              <w:rPr>
                <w:rFonts w:ascii="Arial" w:eastAsia="Arial" w:hAnsi="Arial" w:cs="Arial"/>
                <w:bCs w:val="0"/>
                <w:color w:val="000000" w:themeColor="text1"/>
                <w:sz w:val="16"/>
                <w:szCs w:val="24"/>
              </w:rPr>
              <w:t>Bens Imóveis Registrados</w:t>
            </w:r>
          </w:p>
        </w:tc>
        <w:tc>
          <w:tcPr>
            <w:tcW w:w="4140" w:type="dxa"/>
            <w:gridSpan w:val="3"/>
            <w:shd w:val="clear" w:color="auto" w:fill="D9E2F3" w:themeFill="accent1" w:themeFillTint="33"/>
          </w:tcPr>
          <w:p w14:paraId="0CF0929B" w14:textId="77777777" w:rsidR="00F65091" w:rsidRPr="00B42C10" w:rsidRDefault="00716C2D" w:rsidP="0087297B">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bCs w:val="0"/>
                <w:color w:val="000000"/>
                <w:sz w:val="16"/>
                <w:szCs w:val="24"/>
              </w:rPr>
            </w:pPr>
            <w:proofErr w:type="spellStart"/>
            <w:r w:rsidRPr="00B42C10">
              <w:rPr>
                <w:rFonts w:ascii="Arial" w:eastAsia="Arial" w:hAnsi="Arial" w:cs="Arial"/>
                <w:bCs w:val="0"/>
                <w:color w:val="000000" w:themeColor="text1"/>
                <w:sz w:val="16"/>
                <w:szCs w:val="24"/>
              </w:rPr>
              <w:t>SPIUnet</w:t>
            </w:r>
            <w:proofErr w:type="spellEnd"/>
          </w:p>
        </w:tc>
        <w:tc>
          <w:tcPr>
            <w:tcW w:w="1441" w:type="dxa"/>
            <w:shd w:val="clear" w:color="auto" w:fill="D9E2F3" w:themeFill="accent1" w:themeFillTint="33"/>
          </w:tcPr>
          <w:p w14:paraId="0434F6F7" w14:textId="77777777" w:rsidR="00F65091" w:rsidRPr="00B42C10" w:rsidRDefault="00716C2D" w:rsidP="0087297B">
            <w:pPr>
              <w:spacing w:after="0" w:line="360" w:lineRule="auto"/>
              <w:ind w:left="-9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bCs w:val="0"/>
                <w:color w:val="000000"/>
                <w:sz w:val="16"/>
                <w:szCs w:val="24"/>
              </w:rPr>
            </w:pPr>
            <w:r w:rsidRPr="00B42C10">
              <w:rPr>
                <w:rFonts w:ascii="Arial" w:eastAsia="Arial" w:hAnsi="Arial" w:cs="Arial"/>
                <w:bCs w:val="0"/>
                <w:color w:val="000000" w:themeColor="text1"/>
                <w:sz w:val="16"/>
                <w:szCs w:val="24"/>
              </w:rPr>
              <w:t>SIAFI</w:t>
            </w:r>
          </w:p>
        </w:tc>
      </w:tr>
      <w:tr w:rsidR="00F65091" w14:paraId="5C22E9E5"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vMerge/>
            <w:shd w:val="clear" w:color="auto" w:fill="D9E2F3" w:themeFill="accent1" w:themeFillTint="33"/>
          </w:tcPr>
          <w:p w14:paraId="4D4AF1E4" w14:textId="77777777" w:rsidR="00F65091" w:rsidRPr="00B42C10" w:rsidRDefault="00F65091" w:rsidP="0087297B">
            <w:pPr>
              <w:spacing w:after="0" w:line="360" w:lineRule="auto"/>
              <w:rPr>
                <w:rFonts w:ascii="Calibri" w:eastAsia="Calibri" w:hAnsi="Calibri"/>
                <w:bCs w:val="0"/>
                <w:szCs w:val="24"/>
              </w:rPr>
            </w:pPr>
          </w:p>
        </w:tc>
        <w:tc>
          <w:tcPr>
            <w:tcW w:w="4140" w:type="dxa"/>
            <w:gridSpan w:val="3"/>
            <w:shd w:val="clear" w:color="auto" w:fill="D9E2F3" w:themeFill="accent1" w:themeFillTint="33"/>
          </w:tcPr>
          <w:p w14:paraId="4F2EA872" w14:textId="77777777" w:rsidR="00F65091" w:rsidRPr="00B42C10" w:rsidRDefault="00716C2D" w:rsidP="0087297B">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16"/>
                <w:szCs w:val="24"/>
              </w:rPr>
            </w:pPr>
            <w:r w:rsidRPr="00B42C10">
              <w:rPr>
                <w:rFonts w:ascii="Arial" w:eastAsia="Arial" w:hAnsi="Arial" w:cs="Arial"/>
                <w:b/>
                <w:sz w:val="16"/>
                <w:szCs w:val="24"/>
              </w:rPr>
              <w:t>Valor (R$)</w:t>
            </w:r>
          </w:p>
        </w:tc>
        <w:tc>
          <w:tcPr>
            <w:tcW w:w="1441" w:type="dxa"/>
            <w:shd w:val="clear" w:color="auto" w:fill="D9E2F3" w:themeFill="accent1" w:themeFillTint="33"/>
          </w:tcPr>
          <w:p w14:paraId="4C00F77A" w14:textId="77777777" w:rsidR="00F65091" w:rsidRPr="00B42C10" w:rsidRDefault="00716C2D" w:rsidP="0087297B">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sz w:val="16"/>
                <w:szCs w:val="24"/>
              </w:rPr>
            </w:pPr>
            <w:r w:rsidRPr="00B42C10">
              <w:rPr>
                <w:rFonts w:ascii="Arial" w:eastAsia="Arial" w:hAnsi="Arial" w:cs="Arial"/>
                <w:b/>
                <w:sz w:val="16"/>
                <w:szCs w:val="24"/>
              </w:rPr>
              <w:t>Valor (R$)</w:t>
            </w:r>
          </w:p>
        </w:tc>
      </w:tr>
      <w:tr w:rsidR="00F65091" w14:paraId="298D5F4A"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4273E995" w14:textId="77777777" w:rsidR="00F65091" w:rsidRDefault="00716C2D" w:rsidP="00AB44C9">
            <w:pPr>
              <w:spacing w:after="0" w:line="360" w:lineRule="auto"/>
              <w:jc w:val="center"/>
              <w:rPr>
                <w:rFonts w:ascii="Arial" w:eastAsia="Arial" w:hAnsi="Arial" w:cs="Arial"/>
                <w:color w:val="000000"/>
                <w:sz w:val="16"/>
                <w:szCs w:val="24"/>
              </w:rPr>
            </w:pPr>
            <w:r>
              <w:rPr>
                <w:rFonts w:ascii="Arial" w:eastAsia="Arial" w:hAnsi="Arial" w:cs="Arial"/>
                <w:b w:val="0"/>
                <w:bCs w:val="0"/>
                <w:sz w:val="16"/>
                <w:szCs w:val="24"/>
              </w:rPr>
              <w:t>Localidade</w:t>
            </w:r>
          </w:p>
        </w:tc>
        <w:tc>
          <w:tcPr>
            <w:tcW w:w="1351" w:type="dxa"/>
          </w:tcPr>
          <w:p w14:paraId="73D4C87A" w14:textId="77777777" w:rsidR="00F65091" w:rsidRDefault="00716C2D" w:rsidP="00AB44C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Terreno</w:t>
            </w:r>
          </w:p>
        </w:tc>
        <w:tc>
          <w:tcPr>
            <w:tcW w:w="1350" w:type="dxa"/>
          </w:tcPr>
          <w:p w14:paraId="451BD7DF" w14:textId="77777777" w:rsidR="00F65091" w:rsidRDefault="00716C2D" w:rsidP="00AB44C9">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Benfeitoria</w:t>
            </w:r>
          </w:p>
        </w:tc>
        <w:tc>
          <w:tcPr>
            <w:tcW w:w="1439" w:type="dxa"/>
          </w:tcPr>
          <w:p w14:paraId="5835610C" w14:textId="77777777" w:rsidR="00F65091" w:rsidRDefault="00716C2D" w:rsidP="0087297B">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Total</w:t>
            </w:r>
          </w:p>
        </w:tc>
        <w:tc>
          <w:tcPr>
            <w:tcW w:w="1441" w:type="dxa"/>
          </w:tcPr>
          <w:p w14:paraId="12D8FDCD" w14:textId="77777777" w:rsidR="00F65091" w:rsidRDefault="00716C2D" w:rsidP="0087297B">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Total</w:t>
            </w:r>
          </w:p>
        </w:tc>
      </w:tr>
      <w:tr w:rsidR="00F65091" w14:paraId="2F14594B"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2F8D6E1B"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Afonso Cláudio</w:t>
            </w:r>
          </w:p>
        </w:tc>
        <w:tc>
          <w:tcPr>
            <w:tcW w:w="1351" w:type="dxa"/>
          </w:tcPr>
          <w:p w14:paraId="5FC5BB94"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328.029,58</w:t>
            </w:r>
          </w:p>
        </w:tc>
        <w:tc>
          <w:tcPr>
            <w:tcW w:w="1350" w:type="dxa"/>
          </w:tcPr>
          <w:p w14:paraId="3FB9F854"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458.308,00</w:t>
            </w:r>
          </w:p>
        </w:tc>
        <w:tc>
          <w:tcPr>
            <w:tcW w:w="1439" w:type="dxa"/>
          </w:tcPr>
          <w:p w14:paraId="5C788701"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786.337,58</w:t>
            </w:r>
          </w:p>
        </w:tc>
        <w:tc>
          <w:tcPr>
            <w:tcW w:w="1441" w:type="dxa"/>
          </w:tcPr>
          <w:p w14:paraId="16E01F10"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786.337,58</w:t>
            </w:r>
          </w:p>
        </w:tc>
      </w:tr>
      <w:tr w:rsidR="00F65091" w14:paraId="7F00254A"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3AB259BA"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Aracruz</w:t>
            </w:r>
          </w:p>
        </w:tc>
        <w:tc>
          <w:tcPr>
            <w:tcW w:w="1351" w:type="dxa"/>
          </w:tcPr>
          <w:p w14:paraId="67291959"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299.435,78</w:t>
            </w:r>
          </w:p>
        </w:tc>
        <w:tc>
          <w:tcPr>
            <w:tcW w:w="1350" w:type="dxa"/>
          </w:tcPr>
          <w:p w14:paraId="2EBE50F0"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632.123,00</w:t>
            </w:r>
          </w:p>
        </w:tc>
        <w:tc>
          <w:tcPr>
            <w:tcW w:w="1439" w:type="dxa"/>
          </w:tcPr>
          <w:p w14:paraId="5633C65A"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931.558,78</w:t>
            </w:r>
          </w:p>
        </w:tc>
        <w:tc>
          <w:tcPr>
            <w:tcW w:w="1441" w:type="dxa"/>
          </w:tcPr>
          <w:p w14:paraId="1B4D4942"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931.558,78</w:t>
            </w:r>
          </w:p>
        </w:tc>
      </w:tr>
      <w:tr w:rsidR="00F65091" w14:paraId="7A557594"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43A3908D"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Barra de São Francisco</w:t>
            </w:r>
          </w:p>
        </w:tc>
        <w:tc>
          <w:tcPr>
            <w:tcW w:w="1351" w:type="dxa"/>
          </w:tcPr>
          <w:p w14:paraId="74ED570C"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593.133,51</w:t>
            </w:r>
          </w:p>
        </w:tc>
        <w:tc>
          <w:tcPr>
            <w:tcW w:w="1350" w:type="dxa"/>
          </w:tcPr>
          <w:p w14:paraId="503161CB"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909.349,00</w:t>
            </w:r>
          </w:p>
        </w:tc>
        <w:tc>
          <w:tcPr>
            <w:tcW w:w="1439" w:type="dxa"/>
          </w:tcPr>
          <w:p w14:paraId="11817B18"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1.502.482,51</w:t>
            </w:r>
          </w:p>
        </w:tc>
        <w:tc>
          <w:tcPr>
            <w:tcW w:w="1441" w:type="dxa"/>
          </w:tcPr>
          <w:p w14:paraId="2F5C1319"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1.502.482,51</w:t>
            </w:r>
          </w:p>
        </w:tc>
      </w:tr>
      <w:tr w:rsidR="00F65091" w14:paraId="4288B0FA"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3B8CA441"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Cariacica</w:t>
            </w:r>
          </w:p>
        </w:tc>
        <w:tc>
          <w:tcPr>
            <w:tcW w:w="1351" w:type="dxa"/>
          </w:tcPr>
          <w:p w14:paraId="1D862443"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791.780,00</w:t>
            </w:r>
          </w:p>
        </w:tc>
        <w:tc>
          <w:tcPr>
            <w:tcW w:w="1350" w:type="dxa"/>
          </w:tcPr>
          <w:p w14:paraId="3E29DF3A"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1.037.342,00</w:t>
            </w:r>
          </w:p>
        </w:tc>
        <w:tc>
          <w:tcPr>
            <w:tcW w:w="1439" w:type="dxa"/>
          </w:tcPr>
          <w:p w14:paraId="67659972"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1.829.122,00</w:t>
            </w:r>
          </w:p>
        </w:tc>
        <w:tc>
          <w:tcPr>
            <w:tcW w:w="1441" w:type="dxa"/>
          </w:tcPr>
          <w:p w14:paraId="3FBCA167"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1.829.122,00</w:t>
            </w:r>
          </w:p>
        </w:tc>
      </w:tr>
      <w:tr w:rsidR="00F65091" w14:paraId="5988D8D3"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10FA4861"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Castelo</w:t>
            </w:r>
          </w:p>
        </w:tc>
        <w:tc>
          <w:tcPr>
            <w:tcW w:w="1351" w:type="dxa"/>
          </w:tcPr>
          <w:p w14:paraId="6CB777BE"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598.086,00</w:t>
            </w:r>
          </w:p>
        </w:tc>
        <w:tc>
          <w:tcPr>
            <w:tcW w:w="1350" w:type="dxa"/>
          </w:tcPr>
          <w:p w14:paraId="5579B14D"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717.231,00</w:t>
            </w:r>
          </w:p>
        </w:tc>
        <w:tc>
          <w:tcPr>
            <w:tcW w:w="1439" w:type="dxa"/>
          </w:tcPr>
          <w:p w14:paraId="3893CBC9"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1.315.317,00</w:t>
            </w:r>
          </w:p>
        </w:tc>
        <w:tc>
          <w:tcPr>
            <w:tcW w:w="1441" w:type="dxa"/>
          </w:tcPr>
          <w:p w14:paraId="18FDBEAE"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1.315.317,00</w:t>
            </w:r>
          </w:p>
        </w:tc>
      </w:tr>
      <w:tr w:rsidR="00F65091" w14:paraId="0E5BFA20"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71F2F8A8"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Colatina</w:t>
            </w:r>
          </w:p>
        </w:tc>
        <w:tc>
          <w:tcPr>
            <w:tcW w:w="1351" w:type="dxa"/>
          </w:tcPr>
          <w:p w14:paraId="113A355A"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919.992,09</w:t>
            </w:r>
          </w:p>
        </w:tc>
        <w:tc>
          <w:tcPr>
            <w:tcW w:w="1350" w:type="dxa"/>
          </w:tcPr>
          <w:p w14:paraId="011D7BF7"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2.700.000,00</w:t>
            </w:r>
          </w:p>
        </w:tc>
        <w:tc>
          <w:tcPr>
            <w:tcW w:w="1439" w:type="dxa"/>
          </w:tcPr>
          <w:p w14:paraId="63296408"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3.619.992,09</w:t>
            </w:r>
          </w:p>
        </w:tc>
        <w:tc>
          <w:tcPr>
            <w:tcW w:w="1441" w:type="dxa"/>
          </w:tcPr>
          <w:p w14:paraId="45EF74AD"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3.619.992,09</w:t>
            </w:r>
          </w:p>
        </w:tc>
      </w:tr>
      <w:tr w:rsidR="00F65091" w14:paraId="7CEAE373"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799758F7"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Guarapari</w:t>
            </w:r>
          </w:p>
        </w:tc>
        <w:tc>
          <w:tcPr>
            <w:tcW w:w="1351" w:type="dxa"/>
          </w:tcPr>
          <w:p w14:paraId="3E3CF68A"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370.000,00</w:t>
            </w:r>
          </w:p>
        </w:tc>
        <w:tc>
          <w:tcPr>
            <w:tcW w:w="1350" w:type="dxa"/>
          </w:tcPr>
          <w:p w14:paraId="43CADAE2"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1.580.000,00</w:t>
            </w:r>
          </w:p>
        </w:tc>
        <w:tc>
          <w:tcPr>
            <w:tcW w:w="1439" w:type="dxa"/>
          </w:tcPr>
          <w:p w14:paraId="583BE645"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1.950.000,00</w:t>
            </w:r>
          </w:p>
        </w:tc>
        <w:tc>
          <w:tcPr>
            <w:tcW w:w="1441" w:type="dxa"/>
          </w:tcPr>
          <w:p w14:paraId="0CFDBA90"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1.950.000,00</w:t>
            </w:r>
          </w:p>
        </w:tc>
      </w:tr>
      <w:tr w:rsidR="00F65091" w14:paraId="59BE1844"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5A24BB5F"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Itapemirim</w:t>
            </w:r>
          </w:p>
        </w:tc>
        <w:tc>
          <w:tcPr>
            <w:tcW w:w="1351" w:type="dxa"/>
          </w:tcPr>
          <w:p w14:paraId="4E350A72"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241.362,10</w:t>
            </w:r>
          </w:p>
        </w:tc>
        <w:tc>
          <w:tcPr>
            <w:tcW w:w="1350" w:type="dxa"/>
          </w:tcPr>
          <w:p w14:paraId="63DE9692"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612.150,00</w:t>
            </w:r>
          </w:p>
        </w:tc>
        <w:tc>
          <w:tcPr>
            <w:tcW w:w="1439" w:type="dxa"/>
          </w:tcPr>
          <w:p w14:paraId="6D43531A"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853.512,10</w:t>
            </w:r>
          </w:p>
        </w:tc>
        <w:tc>
          <w:tcPr>
            <w:tcW w:w="1441" w:type="dxa"/>
          </w:tcPr>
          <w:p w14:paraId="4AD7F425"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853.512,10</w:t>
            </w:r>
          </w:p>
        </w:tc>
      </w:tr>
      <w:tr w:rsidR="00F65091" w14:paraId="34D6DF5F"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6CB5C6F6"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São Mateus</w:t>
            </w:r>
          </w:p>
        </w:tc>
        <w:tc>
          <w:tcPr>
            <w:tcW w:w="1351" w:type="dxa"/>
          </w:tcPr>
          <w:p w14:paraId="149EB88A"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845.024,67</w:t>
            </w:r>
          </w:p>
        </w:tc>
        <w:tc>
          <w:tcPr>
            <w:tcW w:w="1350" w:type="dxa"/>
          </w:tcPr>
          <w:p w14:paraId="281A52A3"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508.971,00</w:t>
            </w:r>
          </w:p>
        </w:tc>
        <w:tc>
          <w:tcPr>
            <w:tcW w:w="1439" w:type="dxa"/>
          </w:tcPr>
          <w:p w14:paraId="14E0FC27"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1.353.995,67</w:t>
            </w:r>
          </w:p>
        </w:tc>
        <w:tc>
          <w:tcPr>
            <w:tcW w:w="1441" w:type="dxa"/>
          </w:tcPr>
          <w:p w14:paraId="16361BD8"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1.353.995,67</w:t>
            </w:r>
          </w:p>
        </w:tc>
      </w:tr>
      <w:tr w:rsidR="00F65091" w14:paraId="76E046AC"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3244184E"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lastRenderedPageBreak/>
              <w:t>Serra</w:t>
            </w:r>
          </w:p>
        </w:tc>
        <w:tc>
          <w:tcPr>
            <w:tcW w:w="1351" w:type="dxa"/>
          </w:tcPr>
          <w:p w14:paraId="7965252D"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629.998,62</w:t>
            </w:r>
          </w:p>
        </w:tc>
        <w:tc>
          <w:tcPr>
            <w:tcW w:w="1350" w:type="dxa"/>
          </w:tcPr>
          <w:p w14:paraId="38501C12"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1.600.000,00</w:t>
            </w:r>
          </w:p>
        </w:tc>
        <w:tc>
          <w:tcPr>
            <w:tcW w:w="1439" w:type="dxa"/>
          </w:tcPr>
          <w:p w14:paraId="7451A797"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2.229.998,62</w:t>
            </w:r>
          </w:p>
        </w:tc>
        <w:tc>
          <w:tcPr>
            <w:tcW w:w="1441" w:type="dxa"/>
          </w:tcPr>
          <w:p w14:paraId="7B974FE0"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2.229.998,62</w:t>
            </w:r>
          </w:p>
        </w:tc>
      </w:tr>
      <w:tr w:rsidR="00F65091" w14:paraId="55A2194C"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15042FE5"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Viana</w:t>
            </w:r>
          </w:p>
        </w:tc>
        <w:tc>
          <w:tcPr>
            <w:tcW w:w="1351" w:type="dxa"/>
          </w:tcPr>
          <w:p w14:paraId="5CAE1DF6"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200.001,60</w:t>
            </w:r>
          </w:p>
        </w:tc>
        <w:tc>
          <w:tcPr>
            <w:tcW w:w="1350" w:type="dxa"/>
          </w:tcPr>
          <w:p w14:paraId="1EC041EF"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850.000,00</w:t>
            </w:r>
          </w:p>
        </w:tc>
        <w:tc>
          <w:tcPr>
            <w:tcW w:w="1439" w:type="dxa"/>
          </w:tcPr>
          <w:p w14:paraId="50AE1FF3"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1.050.001,60</w:t>
            </w:r>
          </w:p>
        </w:tc>
        <w:tc>
          <w:tcPr>
            <w:tcW w:w="1441" w:type="dxa"/>
          </w:tcPr>
          <w:p w14:paraId="430C9AF9"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1.050.001,60</w:t>
            </w:r>
          </w:p>
        </w:tc>
      </w:tr>
      <w:tr w:rsidR="00F65091" w14:paraId="47E3857D"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46B16674"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Vitória (SEDE)</w:t>
            </w:r>
          </w:p>
        </w:tc>
        <w:tc>
          <w:tcPr>
            <w:tcW w:w="1351" w:type="dxa"/>
          </w:tcPr>
          <w:p w14:paraId="1EB454EC"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11.899.985,00</w:t>
            </w:r>
          </w:p>
        </w:tc>
        <w:tc>
          <w:tcPr>
            <w:tcW w:w="1350" w:type="dxa"/>
          </w:tcPr>
          <w:p w14:paraId="072AA0FA"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34.600.000,00</w:t>
            </w:r>
          </w:p>
        </w:tc>
        <w:tc>
          <w:tcPr>
            <w:tcW w:w="1439" w:type="dxa"/>
          </w:tcPr>
          <w:p w14:paraId="096E55FD"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46.499.985,00</w:t>
            </w:r>
          </w:p>
        </w:tc>
        <w:tc>
          <w:tcPr>
            <w:tcW w:w="1441" w:type="dxa"/>
          </w:tcPr>
          <w:p w14:paraId="68E5831B"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46.499.985,00</w:t>
            </w:r>
          </w:p>
        </w:tc>
      </w:tr>
      <w:tr w:rsidR="00F65091" w14:paraId="4F6C0259"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7E84EEB6"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Vitória (Centro)</w:t>
            </w:r>
          </w:p>
        </w:tc>
        <w:tc>
          <w:tcPr>
            <w:tcW w:w="1351" w:type="dxa"/>
          </w:tcPr>
          <w:p w14:paraId="4CC6C84F"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499.000,00</w:t>
            </w:r>
          </w:p>
        </w:tc>
        <w:tc>
          <w:tcPr>
            <w:tcW w:w="1350" w:type="dxa"/>
          </w:tcPr>
          <w:p w14:paraId="00FF52D9"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2.176.255,00</w:t>
            </w:r>
          </w:p>
        </w:tc>
        <w:tc>
          <w:tcPr>
            <w:tcW w:w="1439" w:type="dxa"/>
          </w:tcPr>
          <w:p w14:paraId="5E1A01A2"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2.675.225,00</w:t>
            </w:r>
          </w:p>
        </w:tc>
        <w:tc>
          <w:tcPr>
            <w:tcW w:w="1441" w:type="dxa"/>
          </w:tcPr>
          <w:p w14:paraId="26BD838A"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2.675.225,00</w:t>
            </w:r>
          </w:p>
        </w:tc>
      </w:tr>
      <w:tr w:rsidR="00F65091" w14:paraId="12855DA8"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7DA2F987"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Venda Nova do Imigrante</w:t>
            </w:r>
          </w:p>
        </w:tc>
        <w:tc>
          <w:tcPr>
            <w:tcW w:w="1351" w:type="dxa"/>
          </w:tcPr>
          <w:p w14:paraId="704BB124"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457.490,70</w:t>
            </w:r>
          </w:p>
        </w:tc>
        <w:tc>
          <w:tcPr>
            <w:tcW w:w="1350" w:type="dxa"/>
          </w:tcPr>
          <w:p w14:paraId="22D7B115"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1.728.221,00</w:t>
            </w:r>
          </w:p>
        </w:tc>
        <w:tc>
          <w:tcPr>
            <w:tcW w:w="1439" w:type="dxa"/>
          </w:tcPr>
          <w:p w14:paraId="47B147F9"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2.185.744,70</w:t>
            </w:r>
          </w:p>
        </w:tc>
        <w:tc>
          <w:tcPr>
            <w:tcW w:w="1441" w:type="dxa"/>
          </w:tcPr>
          <w:p w14:paraId="7722F106"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2.185.711,70</w:t>
            </w:r>
          </w:p>
        </w:tc>
      </w:tr>
      <w:tr w:rsidR="00F65091" w14:paraId="3BAFECD2" w14:textId="77777777" w:rsidTr="00086D74">
        <w:trPr>
          <w:trHeight w:val="300"/>
        </w:trPr>
        <w:tc>
          <w:tcPr>
            <w:cnfStyle w:val="001000000000" w:firstRow="0" w:lastRow="0" w:firstColumn="1" w:lastColumn="0" w:oddVBand="0" w:evenVBand="0" w:oddHBand="0" w:evenHBand="0" w:firstRowFirstColumn="0" w:firstRowLastColumn="0" w:lastRowFirstColumn="0" w:lastRowLastColumn="0"/>
            <w:tcW w:w="2184" w:type="dxa"/>
          </w:tcPr>
          <w:p w14:paraId="2166ADDB" w14:textId="77777777" w:rsidR="00F65091" w:rsidRDefault="00716C2D" w:rsidP="00AB44C9">
            <w:pPr>
              <w:spacing w:after="0" w:line="360" w:lineRule="auto"/>
              <w:rPr>
                <w:rFonts w:ascii="Arial" w:eastAsia="Arial" w:hAnsi="Arial" w:cs="Arial"/>
                <w:color w:val="000000"/>
                <w:sz w:val="16"/>
                <w:szCs w:val="24"/>
              </w:rPr>
            </w:pPr>
            <w:r>
              <w:rPr>
                <w:rFonts w:ascii="Arial" w:eastAsia="Arial" w:hAnsi="Arial" w:cs="Arial"/>
                <w:b w:val="0"/>
                <w:bCs w:val="0"/>
                <w:sz w:val="16"/>
                <w:szCs w:val="24"/>
              </w:rPr>
              <w:t>Total</w:t>
            </w:r>
          </w:p>
        </w:tc>
        <w:tc>
          <w:tcPr>
            <w:tcW w:w="1351" w:type="dxa"/>
          </w:tcPr>
          <w:p w14:paraId="7B286A65"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18.763.319,65</w:t>
            </w:r>
          </w:p>
        </w:tc>
        <w:tc>
          <w:tcPr>
            <w:tcW w:w="1350" w:type="dxa"/>
          </w:tcPr>
          <w:p w14:paraId="58869B9A" w14:textId="77777777" w:rsidR="00F65091" w:rsidRDefault="00716C2D" w:rsidP="00AB44C9">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50.109.920,00</w:t>
            </w:r>
          </w:p>
        </w:tc>
        <w:tc>
          <w:tcPr>
            <w:tcW w:w="1439" w:type="dxa"/>
          </w:tcPr>
          <w:p w14:paraId="3F0C46FA"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68.783.239,65</w:t>
            </w:r>
          </w:p>
        </w:tc>
        <w:tc>
          <w:tcPr>
            <w:tcW w:w="1441" w:type="dxa"/>
          </w:tcPr>
          <w:p w14:paraId="550BAB1A" w14:textId="77777777" w:rsidR="00F65091" w:rsidRDefault="00716C2D" w:rsidP="0087297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16"/>
                <w:szCs w:val="24"/>
              </w:rPr>
            </w:pPr>
            <w:r>
              <w:rPr>
                <w:rFonts w:ascii="Arial" w:eastAsia="Arial" w:hAnsi="Arial" w:cs="Arial"/>
                <w:sz w:val="16"/>
                <w:szCs w:val="24"/>
              </w:rPr>
              <w:t>68.783.239,65</w:t>
            </w:r>
          </w:p>
        </w:tc>
      </w:tr>
    </w:tbl>
    <w:p w14:paraId="671D0F1A" w14:textId="6E541FF6" w:rsidR="00F65091" w:rsidRDefault="00273D37" w:rsidP="00273D37">
      <w:pPr>
        <w:ind w:firstLine="708"/>
        <w:jc w:val="both"/>
        <w:rPr>
          <w:rFonts w:ascii="Calibri" w:eastAsia="Calibri" w:hAnsi="Calibri" w:cs="Calibri"/>
          <w:sz w:val="18"/>
          <w:szCs w:val="18"/>
        </w:rPr>
      </w:pPr>
      <w:r>
        <w:rPr>
          <w:rFonts w:eastAsia="Calibri" w:cs="Calibri"/>
          <w:sz w:val="18"/>
          <w:szCs w:val="18"/>
        </w:rPr>
        <w:t xml:space="preserve">      </w:t>
      </w:r>
      <w:r w:rsidR="00086D74">
        <w:rPr>
          <w:rFonts w:eastAsia="Calibri" w:cs="Calibri"/>
          <w:sz w:val="18"/>
          <w:szCs w:val="18"/>
        </w:rPr>
        <w:t xml:space="preserve">   </w:t>
      </w:r>
      <w:r w:rsidR="00716C2D">
        <w:rPr>
          <w:rFonts w:eastAsia="Calibri" w:cs="Calibri"/>
          <w:sz w:val="18"/>
          <w:szCs w:val="18"/>
        </w:rPr>
        <w:t xml:space="preserve">Fonte: </w:t>
      </w:r>
      <w:proofErr w:type="spellStart"/>
      <w:r w:rsidR="00716C2D">
        <w:rPr>
          <w:rFonts w:eastAsia="Calibri" w:cs="Calibri"/>
          <w:sz w:val="18"/>
          <w:szCs w:val="18"/>
        </w:rPr>
        <w:t>SPIUnet</w:t>
      </w:r>
      <w:proofErr w:type="spellEnd"/>
      <w:r w:rsidR="00716C2D">
        <w:rPr>
          <w:rFonts w:eastAsia="Calibri" w:cs="Calibri"/>
          <w:sz w:val="18"/>
          <w:szCs w:val="18"/>
        </w:rPr>
        <w:t xml:space="preserve"> e SIAFI</w:t>
      </w:r>
    </w:p>
    <w:p w14:paraId="11F1E804" w14:textId="77777777" w:rsidR="00052BF1" w:rsidRDefault="00052BF1" w:rsidP="00515607">
      <w:pPr>
        <w:spacing w:after="0" w:line="276" w:lineRule="auto"/>
        <w:jc w:val="both"/>
        <w:rPr>
          <w:rFonts w:eastAsia="Calibri" w:cs="Calibri"/>
          <w:b/>
          <w:bCs/>
        </w:rPr>
      </w:pPr>
    </w:p>
    <w:p w14:paraId="2F39837F" w14:textId="77777777" w:rsidR="00052BF1" w:rsidRDefault="00052BF1" w:rsidP="00515607">
      <w:pPr>
        <w:spacing w:after="0" w:line="276" w:lineRule="auto"/>
        <w:jc w:val="both"/>
        <w:rPr>
          <w:rFonts w:eastAsia="Calibri" w:cs="Calibri"/>
          <w:b/>
          <w:bCs/>
        </w:rPr>
      </w:pPr>
    </w:p>
    <w:p w14:paraId="436F595B" w14:textId="085E92FC" w:rsidR="00F65091" w:rsidRDefault="00B5028E" w:rsidP="00515607">
      <w:pPr>
        <w:spacing w:after="0" w:line="276" w:lineRule="auto"/>
        <w:jc w:val="both"/>
        <w:rPr>
          <w:rFonts w:eastAsia="Calibri" w:cs="Calibri"/>
          <w:b/>
          <w:bCs/>
        </w:rPr>
      </w:pPr>
      <w:r>
        <w:rPr>
          <w:rFonts w:eastAsia="Calibri" w:cs="Calibri"/>
          <w:b/>
          <w:bCs/>
        </w:rPr>
        <w:t xml:space="preserve">NOTA 06 </w:t>
      </w:r>
      <w:r w:rsidR="00D7506A">
        <w:rPr>
          <w:rFonts w:eastAsia="Calibri" w:cs="Calibri"/>
          <w:b/>
          <w:bCs/>
        </w:rPr>
        <w:t>–</w:t>
      </w:r>
      <w:r>
        <w:rPr>
          <w:rFonts w:eastAsia="Calibri" w:cs="Calibri"/>
          <w:b/>
          <w:bCs/>
        </w:rPr>
        <w:t xml:space="preserve"> </w:t>
      </w:r>
      <w:r w:rsidR="00716C2D">
        <w:rPr>
          <w:rFonts w:eastAsia="Calibri" w:cs="Calibri"/>
          <w:b/>
          <w:bCs/>
        </w:rPr>
        <w:t>INTANGÍVEL</w:t>
      </w:r>
    </w:p>
    <w:p w14:paraId="127ADB3B" w14:textId="77777777" w:rsidR="00D7506A" w:rsidRDefault="00D7506A" w:rsidP="00515607">
      <w:pPr>
        <w:spacing w:line="276" w:lineRule="auto"/>
        <w:jc w:val="both"/>
      </w:pPr>
    </w:p>
    <w:p w14:paraId="21C3C769" w14:textId="77777777" w:rsidR="00F65091" w:rsidRDefault="00716C2D" w:rsidP="00515607">
      <w:pPr>
        <w:spacing w:line="276" w:lineRule="auto"/>
        <w:jc w:val="both"/>
        <w:rPr>
          <w:rFonts w:ascii="Calibri" w:hAnsi="Calibri"/>
        </w:rPr>
      </w:pPr>
      <w:r>
        <w:rPr>
          <w:rFonts w:ascii="Calibri" w:eastAsia="Arial" w:hAnsi="Calibri" w:cs="Arial"/>
          <w:color w:val="000000" w:themeColor="text1"/>
        </w:rPr>
        <w:t xml:space="preserve">São mensurados ou avaliados com base no valor de aquisição ou de produção, deduzido do saldo da respectiva conta de amortização acumulada (quando tiverem vida útil definida) e do montante acumulado de quaisquer perdas do valor que tenham sofrido ao longo de sua vida útil por redução ao valor recuperável. </w:t>
      </w:r>
    </w:p>
    <w:p w14:paraId="6EC5C854" w14:textId="77777777" w:rsidR="00F65091" w:rsidRDefault="00716C2D" w:rsidP="00515607">
      <w:pPr>
        <w:spacing w:line="276" w:lineRule="auto"/>
        <w:jc w:val="both"/>
        <w:rPr>
          <w:rFonts w:ascii="Calibri" w:hAnsi="Calibri"/>
        </w:rPr>
      </w:pPr>
      <w:r>
        <w:rPr>
          <w:rFonts w:ascii="Calibri" w:eastAsia="Arial" w:hAnsi="Calibri" w:cs="Arial"/>
          <w:color w:val="000000" w:themeColor="text1"/>
        </w:rPr>
        <w:t xml:space="preserve">Os ativos intangíveis gerados internamente em fase de pesquisa não são capitalizados, mas reconhecidos como variação patrimonial diminutiva em que foram incorridos, exceto nos gastos na fase de desenvolvimento que atendam aos critérios de reconhecimento relacionados à conclusão e uso dos ativos, geração de benefícios econômicos futuros, identificáveis e controláveis pelo Tribunal Superior Eleitoral. </w:t>
      </w:r>
    </w:p>
    <w:p w14:paraId="34A33FC5" w14:textId="66FCEA11" w:rsidR="00F65091" w:rsidRPr="00C72CBC" w:rsidRDefault="00716C2D" w:rsidP="00515607">
      <w:pPr>
        <w:spacing w:line="276" w:lineRule="auto"/>
        <w:jc w:val="both"/>
      </w:pPr>
      <w:r w:rsidRPr="00C72CBC">
        <w:rPr>
          <w:rFonts w:ascii="Calibri" w:eastAsia="Arial" w:hAnsi="Calibri" w:cs="Arial"/>
        </w:rPr>
        <w:t xml:space="preserve">Em 31/12/2022, o TRE/ES apresentou um saldo de R$ 5.031.549,45 milhões </w:t>
      </w:r>
      <w:r w:rsidR="00533584" w:rsidRPr="00C72CBC">
        <w:rPr>
          <w:rFonts w:ascii="Calibri" w:eastAsia="Arial" w:hAnsi="Calibri" w:cs="Arial"/>
        </w:rPr>
        <w:t>de I</w:t>
      </w:r>
      <w:r w:rsidRPr="00C72CBC">
        <w:rPr>
          <w:rFonts w:ascii="Calibri" w:eastAsia="Arial" w:hAnsi="Calibri" w:cs="Arial"/>
        </w:rPr>
        <w:t xml:space="preserve">ntangível. Na tabela a seguir, é apresentada a composição do Subgrupo Intangível, para os exercícios de 2021 e 2022. </w:t>
      </w:r>
    </w:p>
    <w:p w14:paraId="1A734DAF" w14:textId="77777777" w:rsidR="00F65091" w:rsidRDefault="00F65091">
      <w:pPr>
        <w:spacing w:after="0" w:line="240" w:lineRule="auto"/>
        <w:jc w:val="center"/>
        <w:rPr>
          <w:rFonts w:eastAsia="Arial" w:cs="Arial"/>
        </w:rPr>
      </w:pPr>
    </w:p>
    <w:p w14:paraId="547801EC" w14:textId="6750CE21" w:rsidR="00F65091" w:rsidRDefault="00716C2D">
      <w:pPr>
        <w:spacing w:after="0" w:line="240" w:lineRule="auto"/>
        <w:jc w:val="center"/>
        <w:rPr>
          <w:rFonts w:ascii="Calibri" w:eastAsia="Calibri" w:hAnsi="Calibri" w:cs="Calibri"/>
          <w:b/>
          <w:bCs/>
        </w:rPr>
      </w:pPr>
      <w:r>
        <w:rPr>
          <w:rFonts w:eastAsia="Arial" w:cs="Arial"/>
          <w:b/>
          <w:bCs/>
        </w:rPr>
        <w:t>Tabela 0</w:t>
      </w:r>
      <w:r w:rsidR="0051776C">
        <w:rPr>
          <w:rFonts w:eastAsia="Arial" w:cs="Arial"/>
          <w:b/>
          <w:bCs/>
        </w:rPr>
        <w:t>8</w:t>
      </w:r>
      <w:r>
        <w:rPr>
          <w:rFonts w:eastAsia="Arial" w:cs="Arial"/>
          <w:b/>
          <w:bCs/>
        </w:rPr>
        <w:t xml:space="preserve"> – Intangível R$</w:t>
      </w:r>
      <w:r>
        <w:rPr>
          <w:rFonts w:eastAsia="Arial" w:cs="Arial"/>
          <w:b/>
          <w:bCs/>
        </w:rPr>
        <w:br/>
      </w:r>
    </w:p>
    <w:tbl>
      <w:tblPr>
        <w:tblStyle w:val="ListaColorida-nfase6"/>
        <w:tblW w:w="8008" w:type="dxa"/>
        <w:tblInd w:w="851" w:type="dxa"/>
        <w:tblLayout w:type="fixed"/>
        <w:tblLook w:val="06A0" w:firstRow="1" w:lastRow="0" w:firstColumn="1" w:lastColumn="0" w:noHBand="1" w:noVBand="1"/>
      </w:tblPr>
      <w:tblGrid>
        <w:gridCol w:w="3544"/>
        <w:gridCol w:w="1572"/>
        <w:gridCol w:w="1584"/>
        <w:gridCol w:w="1308"/>
      </w:tblGrid>
      <w:tr w:rsidR="00192C48" w:rsidRPr="00192C48" w14:paraId="7BBCB43C" w14:textId="77777777" w:rsidTr="0087297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shd w:val="clear" w:color="auto" w:fill="DEEAF6" w:themeFill="accent5" w:themeFillTint="33"/>
          </w:tcPr>
          <w:p w14:paraId="1AEEA24A" w14:textId="3DD85926" w:rsidR="00F65091" w:rsidRPr="00192C48" w:rsidRDefault="00716C2D" w:rsidP="009E5A0B">
            <w:pPr>
              <w:spacing w:after="0" w:line="360" w:lineRule="auto"/>
              <w:jc w:val="center"/>
              <w:rPr>
                <w:color w:val="auto"/>
              </w:rPr>
            </w:pPr>
            <w:r w:rsidRPr="00192C48">
              <w:rPr>
                <w:rFonts w:eastAsia="Calibri" w:cs="Calibri"/>
                <w:color w:val="auto"/>
              </w:rPr>
              <w:t>Bens</w:t>
            </w:r>
          </w:p>
        </w:tc>
        <w:tc>
          <w:tcPr>
            <w:tcW w:w="1572" w:type="dxa"/>
            <w:shd w:val="clear" w:color="auto" w:fill="DEEAF6" w:themeFill="accent5" w:themeFillTint="33"/>
          </w:tcPr>
          <w:p w14:paraId="4FD4A568" w14:textId="77777777" w:rsidR="00F65091" w:rsidRPr="00192C48" w:rsidRDefault="00716C2D" w:rsidP="009E5A0B">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31/12/22</w:t>
            </w:r>
          </w:p>
        </w:tc>
        <w:tc>
          <w:tcPr>
            <w:tcW w:w="1584" w:type="dxa"/>
            <w:shd w:val="clear" w:color="auto" w:fill="DEEAF6" w:themeFill="accent5" w:themeFillTint="33"/>
          </w:tcPr>
          <w:p w14:paraId="2BDA6D49" w14:textId="77777777" w:rsidR="00F65091" w:rsidRPr="00192C48" w:rsidRDefault="00716C2D" w:rsidP="009E5A0B">
            <w:pPr>
              <w:spacing w:after="0" w:line="360" w:lineRule="auto"/>
              <w:jc w:val="center"/>
              <w:cnfStyle w:val="100000000000" w:firstRow="1" w:lastRow="0" w:firstColumn="0" w:lastColumn="0" w:oddVBand="0" w:evenVBand="0" w:oddHBand="0" w:evenHBand="0" w:firstRowFirstColumn="0" w:firstRowLastColumn="0" w:lastRowFirstColumn="0" w:lastRowLastColumn="0"/>
              <w:rPr>
                <w:color w:val="auto"/>
              </w:rPr>
            </w:pPr>
            <w:r w:rsidRPr="00192C48">
              <w:rPr>
                <w:rFonts w:eastAsia="Calibri" w:cs="Calibri"/>
                <w:color w:val="auto"/>
              </w:rPr>
              <w:t>31/12/2021</w:t>
            </w:r>
          </w:p>
        </w:tc>
        <w:tc>
          <w:tcPr>
            <w:tcW w:w="1308" w:type="dxa"/>
            <w:shd w:val="clear" w:color="auto" w:fill="DEEAF6" w:themeFill="accent5" w:themeFillTint="33"/>
          </w:tcPr>
          <w:p w14:paraId="759F4F93" w14:textId="77777777" w:rsidR="00F65091" w:rsidRPr="00192C48" w:rsidRDefault="00716C2D" w:rsidP="009E5A0B">
            <w:pPr>
              <w:spacing w:after="0" w:line="360" w:lineRule="auto"/>
              <w:jc w:val="center"/>
              <w:cnfStyle w:val="100000000000" w:firstRow="1" w:lastRow="0" w:firstColumn="0" w:lastColumn="0" w:oddVBand="0" w:evenVBand="0" w:oddHBand="0" w:evenHBand="0" w:firstRowFirstColumn="0" w:firstRowLastColumn="0" w:lastRowFirstColumn="0" w:lastRowLastColumn="0"/>
              <w:rPr>
                <w:color w:val="auto"/>
              </w:rPr>
            </w:pPr>
            <w:r w:rsidRPr="00192C48">
              <w:rPr>
                <w:color w:val="auto"/>
              </w:rPr>
              <w:t>AH%</w:t>
            </w:r>
          </w:p>
        </w:tc>
      </w:tr>
      <w:tr w:rsidR="00192C48" w:rsidRPr="00192C48" w14:paraId="3B181223" w14:textId="77777777" w:rsidTr="0087297B">
        <w:trPr>
          <w:trHeight w:val="300"/>
        </w:trPr>
        <w:tc>
          <w:tcPr>
            <w:cnfStyle w:val="001000000000" w:firstRow="0" w:lastRow="0" w:firstColumn="1" w:lastColumn="0" w:oddVBand="0" w:evenVBand="0" w:oddHBand="0" w:evenHBand="0" w:firstRowFirstColumn="0" w:firstRowLastColumn="0" w:lastRowFirstColumn="0" w:lastRowLastColumn="0"/>
            <w:tcW w:w="3544" w:type="dxa"/>
          </w:tcPr>
          <w:p w14:paraId="115B4920" w14:textId="77777777" w:rsidR="00F65091" w:rsidRPr="00192C48" w:rsidRDefault="00716C2D" w:rsidP="009E5A0B">
            <w:pPr>
              <w:spacing w:after="0" w:line="360" w:lineRule="auto"/>
              <w:rPr>
                <w:rFonts w:ascii="Calibri" w:eastAsia="Calibri" w:hAnsi="Calibri" w:cs="Calibri"/>
                <w:b w:val="0"/>
                <w:bCs w:val="0"/>
                <w:color w:val="auto"/>
              </w:rPr>
            </w:pPr>
            <w:r w:rsidRPr="00192C48">
              <w:rPr>
                <w:rFonts w:eastAsia="Calibri" w:cs="Calibri"/>
                <w:b w:val="0"/>
                <w:bCs w:val="0"/>
                <w:color w:val="auto"/>
              </w:rPr>
              <w:t>Softwares com vida útil definida</w:t>
            </w:r>
          </w:p>
        </w:tc>
        <w:tc>
          <w:tcPr>
            <w:tcW w:w="1572" w:type="dxa"/>
          </w:tcPr>
          <w:p w14:paraId="761116AE"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14.500,00</w:t>
            </w:r>
          </w:p>
        </w:tc>
        <w:tc>
          <w:tcPr>
            <w:tcW w:w="1584" w:type="dxa"/>
          </w:tcPr>
          <w:p w14:paraId="08A00B0C"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0,00</w:t>
            </w:r>
          </w:p>
        </w:tc>
        <w:tc>
          <w:tcPr>
            <w:tcW w:w="1308" w:type="dxa"/>
          </w:tcPr>
          <w:p w14:paraId="7ED48C52"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14.500,00</w:t>
            </w:r>
          </w:p>
        </w:tc>
      </w:tr>
      <w:tr w:rsidR="00192C48" w:rsidRPr="00192C48" w14:paraId="3AA815AF" w14:textId="77777777" w:rsidTr="0087297B">
        <w:trPr>
          <w:trHeight w:val="300"/>
        </w:trPr>
        <w:tc>
          <w:tcPr>
            <w:cnfStyle w:val="001000000000" w:firstRow="0" w:lastRow="0" w:firstColumn="1" w:lastColumn="0" w:oddVBand="0" w:evenVBand="0" w:oddHBand="0" w:evenHBand="0" w:firstRowFirstColumn="0" w:firstRowLastColumn="0" w:lastRowFirstColumn="0" w:lastRowLastColumn="0"/>
            <w:tcW w:w="3544" w:type="dxa"/>
          </w:tcPr>
          <w:p w14:paraId="257C955E" w14:textId="77777777" w:rsidR="00F65091" w:rsidRPr="00192C48" w:rsidRDefault="00716C2D" w:rsidP="009E5A0B">
            <w:pPr>
              <w:spacing w:after="0" w:line="360" w:lineRule="auto"/>
              <w:rPr>
                <w:rFonts w:ascii="Calibri" w:eastAsia="Calibri" w:hAnsi="Calibri" w:cs="Calibri"/>
                <w:b w:val="0"/>
                <w:bCs w:val="0"/>
                <w:color w:val="auto"/>
              </w:rPr>
            </w:pPr>
            <w:r w:rsidRPr="00192C48">
              <w:rPr>
                <w:rFonts w:eastAsia="Calibri" w:cs="Calibri"/>
                <w:b w:val="0"/>
                <w:bCs w:val="0"/>
                <w:color w:val="auto"/>
              </w:rPr>
              <w:t>Softwares com vida útil indefinida</w:t>
            </w:r>
          </w:p>
        </w:tc>
        <w:tc>
          <w:tcPr>
            <w:tcW w:w="1572" w:type="dxa"/>
          </w:tcPr>
          <w:p w14:paraId="377B0A05"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5.030.231,27</w:t>
            </w:r>
          </w:p>
        </w:tc>
        <w:tc>
          <w:tcPr>
            <w:tcW w:w="1584" w:type="dxa"/>
          </w:tcPr>
          <w:p w14:paraId="063C379D"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2.705.499,27</w:t>
            </w:r>
          </w:p>
        </w:tc>
        <w:tc>
          <w:tcPr>
            <w:tcW w:w="1308" w:type="dxa"/>
          </w:tcPr>
          <w:p w14:paraId="4F2E34B0"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85,92</w:t>
            </w:r>
          </w:p>
        </w:tc>
      </w:tr>
      <w:tr w:rsidR="00192C48" w:rsidRPr="00192C48" w14:paraId="59FB7057" w14:textId="77777777" w:rsidTr="0087297B">
        <w:trPr>
          <w:trHeight w:val="300"/>
        </w:trPr>
        <w:tc>
          <w:tcPr>
            <w:cnfStyle w:val="001000000000" w:firstRow="0" w:lastRow="0" w:firstColumn="1" w:lastColumn="0" w:oddVBand="0" w:evenVBand="0" w:oddHBand="0" w:evenHBand="0" w:firstRowFirstColumn="0" w:firstRowLastColumn="0" w:lastRowFirstColumn="0" w:lastRowLastColumn="0"/>
            <w:tcW w:w="3544" w:type="dxa"/>
          </w:tcPr>
          <w:p w14:paraId="5D54BAEE" w14:textId="77777777" w:rsidR="00F65091" w:rsidRPr="00192C48" w:rsidRDefault="00716C2D" w:rsidP="009E5A0B">
            <w:pPr>
              <w:spacing w:after="0" w:line="360" w:lineRule="auto"/>
              <w:rPr>
                <w:rFonts w:ascii="Calibri" w:eastAsia="Calibri" w:hAnsi="Calibri" w:cs="Calibri"/>
                <w:b w:val="0"/>
                <w:bCs w:val="0"/>
                <w:color w:val="auto"/>
              </w:rPr>
            </w:pPr>
            <w:r w:rsidRPr="00192C48">
              <w:rPr>
                <w:rFonts w:eastAsia="Calibri" w:cs="Calibri"/>
                <w:b w:val="0"/>
                <w:bCs w:val="0"/>
                <w:color w:val="auto"/>
              </w:rPr>
              <w:t>Valor Contábil Bruto</w:t>
            </w:r>
          </w:p>
        </w:tc>
        <w:tc>
          <w:tcPr>
            <w:tcW w:w="1572" w:type="dxa"/>
          </w:tcPr>
          <w:p w14:paraId="16942CEE"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5.044.731,27</w:t>
            </w:r>
          </w:p>
        </w:tc>
        <w:tc>
          <w:tcPr>
            <w:tcW w:w="1584" w:type="dxa"/>
          </w:tcPr>
          <w:p w14:paraId="4D8C7296"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2.705.499,27</w:t>
            </w:r>
          </w:p>
        </w:tc>
        <w:tc>
          <w:tcPr>
            <w:tcW w:w="1308" w:type="dxa"/>
          </w:tcPr>
          <w:p w14:paraId="2014D350"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86,46</w:t>
            </w:r>
          </w:p>
        </w:tc>
      </w:tr>
      <w:tr w:rsidR="00192C48" w:rsidRPr="00192C48" w14:paraId="6559D9CB" w14:textId="77777777" w:rsidTr="0087297B">
        <w:trPr>
          <w:trHeight w:val="300"/>
        </w:trPr>
        <w:tc>
          <w:tcPr>
            <w:cnfStyle w:val="001000000000" w:firstRow="0" w:lastRow="0" w:firstColumn="1" w:lastColumn="0" w:oddVBand="0" w:evenVBand="0" w:oddHBand="0" w:evenHBand="0" w:firstRowFirstColumn="0" w:firstRowLastColumn="0" w:lastRowFirstColumn="0" w:lastRowLastColumn="0"/>
            <w:tcW w:w="3544" w:type="dxa"/>
          </w:tcPr>
          <w:p w14:paraId="1E119000" w14:textId="034561C0" w:rsidR="00F65091" w:rsidRPr="00192C48" w:rsidRDefault="009E5A0B" w:rsidP="009E5A0B">
            <w:pPr>
              <w:spacing w:after="0" w:line="360" w:lineRule="auto"/>
              <w:rPr>
                <w:rFonts w:ascii="Calibri" w:eastAsia="Calibri" w:hAnsi="Calibri" w:cs="Calibri"/>
                <w:b w:val="0"/>
                <w:bCs w:val="0"/>
                <w:color w:val="auto"/>
              </w:rPr>
            </w:pPr>
            <w:r w:rsidRPr="00192C48">
              <w:rPr>
                <w:rFonts w:eastAsia="Calibri" w:cs="Calibri"/>
                <w:b w:val="0"/>
                <w:bCs w:val="0"/>
                <w:color w:val="auto"/>
              </w:rPr>
              <w:t xml:space="preserve">  </w:t>
            </w:r>
            <w:r w:rsidR="00716C2D" w:rsidRPr="00192C48">
              <w:rPr>
                <w:rFonts w:eastAsia="Calibri" w:cs="Calibri"/>
                <w:b w:val="0"/>
                <w:bCs w:val="0"/>
                <w:color w:val="auto"/>
              </w:rPr>
              <w:t>(-) Amortização Acumulada</w:t>
            </w:r>
          </w:p>
        </w:tc>
        <w:tc>
          <w:tcPr>
            <w:tcW w:w="1572" w:type="dxa"/>
          </w:tcPr>
          <w:p w14:paraId="22CE1409"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13.181,82</w:t>
            </w:r>
          </w:p>
        </w:tc>
        <w:tc>
          <w:tcPr>
            <w:tcW w:w="1584" w:type="dxa"/>
          </w:tcPr>
          <w:p w14:paraId="56E37469"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0,00</w:t>
            </w:r>
          </w:p>
        </w:tc>
        <w:tc>
          <w:tcPr>
            <w:tcW w:w="1308" w:type="dxa"/>
          </w:tcPr>
          <w:p w14:paraId="6EF5C37F"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13.181,82</w:t>
            </w:r>
          </w:p>
        </w:tc>
      </w:tr>
      <w:tr w:rsidR="00192C48" w:rsidRPr="00192C48" w14:paraId="2EC71CD7" w14:textId="77777777" w:rsidTr="0087297B">
        <w:trPr>
          <w:trHeight w:val="300"/>
        </w:trPr>
        <w:tc>
          <w:tcPr>
            <w:cnfStyle w:val="001000000000" w:firstRow="0" w:lastRow="0" w:firstColumn="1" w:lastColumn="0" w:oddVBand="0" w:evenVBand="0" w:oddHBand="0" w:evenHBand="0" w:firstRowFirstColumn="0" w:firstRowLastColumn="0" w:lastRowFirstColumn="0" w:lastRowLastColumn="0"/>
            <w:tcW w:w="3544" w:type="dxa"/>
          </w:tcPr>
          <w:p w14:paraId="430527EC" w14:textId="77777777" w:rsidR="00F65091" w:rsidRPr="00192C48" w:rsidRDefault="00716C2D" w:rsidP="009E5A0B">
            <w:pPr>
              <w:spacing w:after="0" w:line="360" w:lineRule="auto"/>
              <w:rPr>
                <w:rFonts w:ascii="Calibri" w:eastAsia="Calibri" w:hAnsi="Calibri" w:cs="Calibri"/>
                <w:b w:val="0"/>
                <w:bCs w:val="0"/>
                <w:color w:val="auto"/>
              </w:rPr>
            </w:pPr>
            <w:r w:rsidRPr="00192C48">
              <w:rPr>
                <w:rFonts w:eastAsia="Calibri" w:cs="Calibri"/>
                <w:b w:val="0"/>
                <w:bCs w:val="0"/>
                <w:color w:val="auto"/>
              </w:rPr>
              <w:t>Valor Contábil Líquido</w:t>
            </w:r>
          </w:p>
        </w:tc>
        <w:tc>
          <w:tcPr>
            <w:tcW w:w="1572" w:type="dxa"/>
          </w:tcPr>
          <w:p w14:paraId="37D96725"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5.031.549,45</w:t>
            </w:r>
          </w:p>
        </w:tc>
        <w:tc>
          <w:tcPr>
            <w:tcW w:w="1584" w:type="dxa"/>
          </w:tcPr>
          <w:p w14:paraId="2A56CB30"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2.705.499,27</w:t>
            </w:r>
          </w:p>
        </w:tc>
        <w:tc>
          <w:tcPr>
            <w:tcW w:w="1308" w:type="dxa"/>
          </w:tcPr>
          <w:p w14:paraId="5EBDB49F" w14:textId="77777777" w:rsidR="00F65091" w:rsidRPr="00192C48" w:rsidRDefault="00716C2D" w:rsidP="009E5A0B">
            <w:pPr>
              <w:spacing w:after="0" w:line="360" w:lineRule="auto"/>
              <w:jc w:val="righ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rPr>
            </w:pPr>
            <w:r w:rsidRPr="00192C48">
              <w:rPr>
                <w:rFonts w:eastAsia="Calibri" w:cs="Calibri"/>
                <w:color w:val="auto"/>
              </w:rPr>
              <w:t>85,97</w:t>
            </w:r>
          </w:p>
        </w:tc>
      </w:tr>
    </w:tbl>
    <w:p w14:paraId="49481C63" w14:textId="3BE1C769" w:rsidR="00F65091" w:rsidRPr="00052BF1" w:rsidRDefault="00716C2D">
      <w:pPr>
        <w:spacing w:line="360" w:lineRule="auto"/>
        <w:jc w:val="both"/>
        <w:rPr>
          <w:rFonts w:ascii="Calibri" w:eastAsia="Calibri" w:hAnsi="Calibri" w:cs="Calibri"/>
          <w:color w:val="FF0000"/>
        </w:rPr>
      </w:pPr>
      <w:r>
        <w:rPr>
          <w:rFonts w:eastAsia="Calibri" w:cs="Calibri"/>
          <w:sz w:val="18"/>
          <w:szCs w:val="18"/>
        </w:rPr>
        <w:tab/>
        <w:t xml:space="preserve">      Fonte: SIAFI</w:t>
      </w:r>
    </w:p>
    <w:p w14:paraId="53A9B483" w14:textId="77777777" w:rsidR="00840845" w:rsidRDefault="00164E5E" w:rsidP="00515607">
      <w:pPr>
        <w:spacing w:line="276" w:lineRule="auto"/>
        <w:jc w:val="both"/>
        <w:rPr>
          <w:rFonts w:eastAsia="Arial" w:cs="Arial"/>
        </w:rPr>
      </w:pPr>
      <w:r w:rsidRPr="00164E5E">
        <w:rPr>
          <w:rFonts w:eastAsia="Calibri" w:cs="Calibri"/>
        </w:rPr>
        <w:t>A conta Software representa os valores referentes aos softwares utilizados pelo TRE-ES no ano de 2022, a conta encerrou o exercício com um saldo de R$ 5.031.549,35 após a amortização.</w:t>
      </w:r>
      <w:r w:rsidR="00564189">
        <w:rPr>
          <w:rFonts w:eastAsia="Arial" w:cs="Arial"/>
        </w:rPr>
        <w:t xml:space="preserve"> </w:t>
      </w:r>
    </w:p>
    <w:p w14:paraId="21F78F02" w14:textId="4DEC16E6" w:rsidR="00115676" w:rsidRPr="00414713" w:rsidRDefault="00716C2D" w:rsidP="00515607">
      <w:pPr>
        <w:spacing w:line="276" w:lineRule="auto"/>
        <w:jc w:val="both"/>
        <w:rPr>
          <w:rFonts w:ascii="Calibri" w:eastAsia="Arial" w:hAnsi="Calibri" w:cs="Arial"/>
        </w:rPr>
      </w:pPr>
      <w:r>
        <w:rPr>
          <w:rFonts w:ascii="Calibri" w:eastAsia="Arial" w:hAnsi="Calibri" w:cs="Arial"/>
        </w:rPr>
        <w:t xml:space="preserve">O item </w:t>
      </w:r>
      <w:r w:rsidRPr="008B323D">
        <w:rPr>
          <w:rFonts w:ascii="Calibri" w:eastAsia="Arial" w:hAnsi="Calibri" w:cs="Arial"/>
          <w:u w:val="single"/>
        </w:rPr>
        <w:t>Software</w:t>
      </w:r>
      <w:r w:rsidR="00414713">
        <w:rPr>
          <w:rFonts w:ascii="Calibri" w:eastAsia="Arial" w:hAnsi="Calibri" w:cs="Arial"/>
          <w:u w:val="single"/>
        </w:rPr>
        <w:t>s</w:t>
      </w:r>
      <w:r w:rsidRPr="008B323D">
        <w:rPr>
          <w:rFonts w:ascii="Calibri" w:eastAsia="Arial" w:hAnsi="Calibri" w:cs="Arial"/>
          <w:u w:val="single"/>
        </w:rPr>
        <w:t xml:space="preserve"> com Vida Útil Definida</w:t>
      </w:r>
      <w:r>
        <w:rPr>
          <w:rFonts w:ascii="Calibri" w:eastAsia="Arial" w:hAnsi="Calibri" w:cs="Arial"/>
        </w:rPr>
        <w:t xml:space="preserve"> teve aumento de 14.500%</w:t>
      </w:r>
      <w:r w:rsidR="00840845">
        <w:rPr>
          <w:rFonts w:ascii="Calibri" w:eastAsia="Arial" w:hAnsi="Calibri" w:cs="Arial"/>
          <w:color w:val="FF0000"/>
        </w:rPr>
        <w:t xml:space="preserve">. </w:t>
      </w:r>
      <w:r w:rsidR="00840845" w:rsidRPr="00414713">
        <w:rPr>
          <w:rFonts w:ascii="Calibri" w:eastAsia="Arial" w:hAnsi="Calibri" w:cs="Arial"/>
        </w:rPr>
        <w:t>Essa variação é decorrente da</w:t>
      </w:r>
      <w:r w:rsidR="00AA35D7" w:rsidRPr="00414713">
        <w:rPr>
          <w:rFonts w:ascii="Calibri" w:eastAsia="Arial" w:hAnsi="Calibri" w:cs="Arial"/>
        </w:rPr>
        <w:t xml:space="preserve"> de plano corporativo</w:t>
      </w:r>
      <w:r w:rsidR="00115676" w:rsidRPr="00414713">
        <w:rPr>
          <w:rFonts w:ascii="Calibri" w:eastAsia="Arial" w:hAnsi="Calibri" w:cs="Arial"/>
        </w:rPr>
        <w:t xml:space="preserve"> de Software de Videoconferência</w:t>
      </w:r>
      <w:r w:rsidR="00EA31CB" w:rsidRPr="00414713">
        <w:rPr>
          <w:rFonts w:ascii="Calibri" w:eastAsia="Arial" w:hAnsi="Calibri" w:cs="Arial"/>
        </w:rPr>
        <w:t xml:space="preserve">, em 30/01/2022, no valor de R$ 14.500,00, conforme documento SIAFI </w:t>
      </w:r>
      <w:r w:rsidR="00C72919" w:rsidRPr="00414713">
        <w:rPr>
          <w:rFonts w:ascii="Calibri" w:eastAsia="Arial" w:hAnsi="Calibri" w:cs="Arial"/>
        </w:rPr>
        <w:t>2022NS000429</w:t>
      </w:r>
      <w:r w:rsidR="00AA35D7" w:rsidRPr="00414713">
        <w:rPr>
          <w:rFonts w:ascii="Calibri" w:eastAsia="Arial" w:hAnsi="Calibri" w:cs="Arial"/>
        </w:rPr>
        <w:t xml:space="preserve"> (pregão eletrônico nº 46/2021</w:t>
      </w:r>
      <w:r w:rsidR="00DD00E4" w:rsidRPr="00414713">
        <w:rPr>
          <w:rFonts w:ascii="Calibri" w:eastAsia="Arial" w:hAnsi="Calibri" w:cs="Arial"/>
        </w:rPr>
        <w:t xml:space="preserve"> e seus anexos).</w:t>
      </w:r>
    </w:p>
    <w:p w14:paraId="5202D9F9" w14:textId="70C3B0E4" w:rsidR="005C7962" w:rsidRDefault="00414713" w:rsidP="00515607">
      <w:pPr>
        <w:spacing w:line="276" w:lineRule="auto"/>
        <w:jc w:val="both"/>
        <w:rPr>
          <w:rFonts w:ascii="Calibri" w:eastAsia="Arial" w:hAnsi="Calibri" w:cs="Arial"/>
        </w:rPr>
      </w:pPr>
      <w:r w:rsidRPr="00414713">
        <w:rPr>
          <w:rFonts w:ascii="Calibri" w:eastAsia="Arial" w:hAnsi="Calibri" w:cs="Arial"/>
        </w:rPr>
        <w:t xml:space="preserve">Em relação aos </w:t>
      </w:r>
      <w:r w:rsidRPr="00414713">
        <w:rPr>
          <w:rFonts w:ascii="Calibri" w:eastAsia="Arial" w:hAnsi="Calibri" w:cs="Arial"/>
          <w:u w:val="single"/>
        </w:rPr>
        <w:t>Softwares com Vida Útil Indef</w:t>
      </w:r>
      <w:r w:rsidR="00087F5B">
        <w:rPr>
          <w:rFonts w:ascii="Calibri" w:eastAsia="Arial" w:hAnsi="Calibri" w:cs="Arial"/>
          <w:u w:val="single"/>
        </w:rPr>
        <w:t>i</w:t>
      </w:r>
      <w:r w:rsidRPr="00414713">
        <w:rPr>
          <w:rFonts w:ascii="Calibri" w:eastAsia="Arial" w:hAnsi="Calibri" w:cs="Arial"/>
          <w:u w:val="single"/>
        </w:rPr>
        <w:t>nida</w:t>
      </w:r>
      <w:r w:rsidRPr="00414713">
        <w:rPr>
          <w:rFonts w:ascii="Calibri" w:eastAsia="Arial" w:hAnsi="Calibri" w:cs="Arial"/>
        </w:rPr>
        <w:t xml:space="preserve">, </w:t>
      </w:r>
      <w:r w:rsidR="005B62CB">
        <w:rPr>
          <w:rFonts w:ascii="Calibri" w:eastAsia="Arial" w:hAnsi="Calibri" w:cs="Arial"/>
        </w:rPr>
        <w:t>nota-se que, no final do exercício de 2022, houve um acréscimo de 86,46% em relação ao exercício de 2021.</w:t>
      </w:r>
      <w:r w:rsidR="00B15D0B">
        <w:rPr>
          <w:rFonts w:ascii="Calibri" w:eastAsia="Arial" w:hAnsi="Calibri" w:cs="Arial"/>
        </w:rPr>
        <w:t xml:space="preserve"> As principais aquisições que impactaram </w:t>
      </w:r>
      <w:r w:rsidR="004034C5">
        <w:rPr>
          <w:rFonts w:ascii="Calibri" w:eastAsia="Arial" w:hAnsi="Calibri" w:cs="Arial"/>
        </w:rPr>
        <w:t>essa alteração, foram:</w:t>
      </w:r>
    </w:p>
    <w:p w14:paraId="1E599AF5" w14:textId="3F9F7F90" w:rsidR="00095C6C" w:rsidRDefault="00DA5D6B" w:rsidP="00515607">
      <w:pPr>
        <w:pStyle w:val="PargrafodaLista"/>
        <w:numPr>
          <w:ilvl w:val="0"/>
          <w:numId w:val="4"/>
        </w:numPr>
        <w:spacing w:line="276" w:lineRule="auto"/>
        <w:jc w:val="both"/>
        <w:rPr>
          <w:rFonts w:eastAsia="Arial" w:cs="Arial"/>
        </w:rPr>
      </w:pPr>
      <w:r>
        <w:rPr>
          <w:rFonts w:eastAsia="Arial" w:cs="Arial"/>
        </w:rPr>
        <w:t xml:space="preserve">R$ </w:t>
      </w:r>
      <w:r w:rsidR="00AD45B6">
        <w:rPr>
          <w:rFonts w:eastAsia="Arial" w:cs="Arial"/>
        </w:rPr>
        <w:t>505.000,00: a</w:t>
      </w:r>
      <w:r w:rsidR="002F6861">
        <w:rPr>
          <w:rFonts w:eastAsia="Arial" w:cs="Arial"/>
        </w:rPr>
        <w:t xml:space="preserve">quisição de Licenças dos Softwares Dell Cyber Recovery e Dell Cyber Sense, em </w:t>
      </w:r>
      <w:r w:rsidR="002A69D4">
        <w:rPr>
          <w:rFonts w:eastAsia="Arial" w:cs="Arial"/>
        </w:rPr>
        <w:t>10/03/2022, conforme documento SIAFI 2022NS001182</w:t>
      </w:r>
      <w:r>
        <w:rPr>
          <w:rFonts w:eastAsia="Arial" w:cs="Arial"/>
        </w:rPr>
        <w:t xml:space="preserve"> e pregão eletrônico nº 37/2021;</w:t>
      </w:r>
    </w:p>
    <w:p w14:paraId="73BDB7F4" w14:textId="6A0D2F5A" w:rsidR="004034C5" w:rsidRDefault="00AD45B6" w:rsidP="00515607">
      <w:pPr>
        <w:pStyle w:val="PargrafodaLista"/>
        <w:numPr>
          <w:ilvl w:val="0"/>
          <w:numId w:val="4"/>
        </w:numPr>
        <w:spacing w:line="276" w:lineRule="auto"/>
        <w:jc w:val="both"/>
        <w:rPr>
          <w:rFonts w:eastAsia="Arial" w:cs="Arial"/>
        </w:rPr>
      </w:pPr>
      <w:r>
        <w:rPr>
          <w:rFonts w:eastAsia="Arial" w:cs="Arial"/>
        </w:rPr>
        <w:lastRenderedPageBreak/>
        <w:t>R$ 575.500,00: a</w:t>
      </w:r>
      <w:r w:rsidR="004034C5">
        <w:rPr>
          <w:rFonts w:eastAsia="Arial" w:cs="Arial"/>
        </w:rPr>
        <w:t>quisição de solução de gerenciamento</w:t>
      </w:r>
      <w:r w:rsidR="00FE36C9">
        <w:rPr>
          <w:rFonts w:eastAsia="Arial" w:cs="Arial"/>
        </w:rPr>
        <w:t xml:space="preserve"> de acessos privilegiados para dispositivos</w:t>
      </w:r>
      <w:r w:rsidR="001F3851">
        <w:rPr>
          <w:rFonts w:eastAsia="Arial" w:cs="Arial"/>
        </w:rPr>
        <w:t>, em 31/05/2022</w:t>
      </w:r>
      <w:r w:rsidR="00FE36C9">
        <w:rPr>
          <w:rFonts w:eastAsia="Arial" w:cs="Arial"/>
        </w:rPr>
        <w:t>, conforme pregão eletrônico TSE nº 85/2021</w:t>
      </w:r>
      <w:r w:rsidR="00EA6783">
        <w:rPr>
          <w:rFonts w:eastAsia="Arial" w:cs="Arial"/>
        </w:rPr>
        <w:t>;</w:t>
      </w:r>
    </w:p>
    <w:p w14:paraId="06973B7B" w14:textId="6F94831C" w:rsidR="001F3851" w:rsidRDefault="00AD45B6" w:rsidP="00515607">
      <w:pPr>
        <w:pStyle w:val="PargrafodaLista"/>
        <w:numPr>
          <w:ilvl w:val="0"/>
          <w:numId w:val="4"/>
        </w:numPr>
        <w:spacing w:line="276" w:lineRule="auto"/>
        <w:jc w:val="both"/>
        <w:rPr>
          <w:rFonts w:eastAsia="Arial" w:cs="Arial"/>
        </w:rPr>
      </w:pPr>
      <w:r>
        <w:rPr>
          <w:rFonts w:eastAsia="Arial" w:cs="Arial"/>
        </w:rPr>
        <w:t>R$ 199.050,00: a</w:t>
      </w:r>
      <w:r w:rsidR="001F3851">
        <w:rPr>
          <w:rFonts w:eastAsia="Arial" w:cs="Arial"/>
        </w:rPr>
        <w:t>quisição de licenças perpétuas d</w:t>
      </w:r>
      <w:r w:rsidR="007C2003">
        <w:rPr>
          <w:rFonts w:eastAsia="Arial" w:cs="Arial"/>
        </w:rPr>
        <w:t xml:space="preserve">o Software </w:t>
      </w:r>
      <w:proofErr w:type="spellStart"/>
      <w:r w:rsidR="007C2003">
        <w:rPr>
          <w:rFonts w:eastAsia="Arial" w:cs="Arial"/>
        </w:rPr>
        <w:t>Toad</w:t>
      </w:r>
      <w:proofErr w:type="spellEnd"/>
      <w:r w:rsidR="007C2003">
        <w:rPr>
          <w:rFonts w:eastAsia="Arial" w:cs="Arial"/>
        </w:rPr>
        <w:t xml:space="preserve"> for Oracle DBA </w:t>
      </w:r>
      <w:proofErr w:type="spellStart"/>
      <w:r w:rsidR="007C2003">
        <w:rPr>
          <w:rFonts w:eastAsia="Arial" w:cs="Arial"/>
        </w:rPr>
        <w:t>Edition</w:t>
      </w:r>
      <w:proofErr w:type="spellEnd"/>
      <w:r w:rsidR="007C2003">
        <w:rPr>
          <w:rFonts w:eastAsia="Arial" w:cs="Arial"/>
        </w:rPr>
        <w:t xml:space="preserve"> per </w:t>
      </w:r>
      <w:proofErr w:type="spellStart"/>
      <w:r w:rsidR="007C2003">
        <w:rPr>
          <w:rFonts w:eastAsia="Arial" w:cs="Arial"/>
        </w:rPr>
        <w:t>Seat</w:t>
      </w:r>
      <w:proofErr w:type="spellEnd"/>
      <w:r w:rsidR="007C2003">
        <w:rPr>
          <w:rFonts w:eastAsia="Arial" w:cs="Arial"/>
        </w:rPr>
        <w:t xml:space="preserve"> </w:t>
      </w:r>
      <w:proofErr w:type="spellStart"/>
      <w:r w:rsidR="007C2003">
        <w:rPr>
          <w:rFonts w:eastAsia="Arial" w:cs="Arial"/>
        </w:rPr>
        <w:t>License-Maint</w:t>
      </w:r>
      <w:proofErr w:type="spellEnd"/>
      <w:r w:rsidR="007C2003">
        <w:rPr>
          <w:rFonts w:eastAsia="Arial" w:cs="Arial"/>
        </w:rPr>
        <w:t xml:space="preserve"> Pack</w:t>
      </w:r>
      <w:r w:rsidR="00B62BF6">
        <w:rPr>
          <w:rFonts w:eastAsia="Arial" w:cs="Arial"/>
        </w:rPr>
        <w:t xml:space="preserve">, com suporte e atualização pelo período de 12 meses, em 07/12/2022, </w:t>
      </w:r>
      <w:r w:rsidR="00937C72">
        <w:rPr>
          <w:rFonts w:eastAsia="Arial" w:cs="Arial"/>
        </w:rPr>
        <w:t>conforme pregão eletrônico nº 53/2022 e documento SIAFI 2022NS008466;</w:t>
      </w:r>
    </w:p>
    <w:p w14:paraId="128ECCC4" w14:textId="65408270" w:rsidR="00937C72" w:rsidRPr="004034C5" w:rsidRDefault="00AD45B6" w:rsidP="004034C5">
      <w:pPr>
        <w:pStyle w:val="PargrafodaLista"/>
        <w:numPr>
          <w:ilvl w:val="0"/>
          <w:numId w:val="4"/>
        </w:numPr>
        <w:spacing w:line="360" w:lineRule="auto"/>
        <w:jc w:val="both"/>
        <w:rPr>
          <w:rFonts w:eastAsia="Arial" w:cs="Arial"/>
        </w:rPr>
      </w:pPr>
      <w:r>
        <w:rPr>
          <w:rFonts w:eastAsia="Arial" w:cs="Arial"/>
        </w:rPr>
        <w:t>R$ 1.040.182,00: f</w:t>
      </w:r>
      <w:r w:rsidR="000579BA">
        <w:rPr>
          <w:rFonts w:eastAsia="Arial" w:cs="Arial"/>
        </w:rPr>
        <w:t xml:space="preserve">ornecimento de solução de WEB </w:t>
      </w:r>
      <w:proofErr w:type="spellStart"/>
      <w:r w:rsidR="000579BA">
        <w:rPr>
          <w:rFonts w:eastAsia="Arial" w:cs="Arial"/>
        </w:rPr>
        <w:t>Application</w:t>
      </w:r>
      <w:proofErr w:type="spellEnd"/>
      <w:r w:rsidR="000579BA">
        <w:rPr>
          <w:rFonts w:eastAsia="Arial" w:cs="Arial"/>
        </w:rPr>
        <w:t xml:space="preserve"> </w:t>
      </w:r>
      <w:proofErr w:type="spellStart"/>
      <w:r w:rsidR="000579BA">
        <w:rPr>
          <w:rFonts w:eastAsia="Arial" w:cs="Arial"/>
        </w:rPr>
        <w:t>Firewalll</w:t>
      </w:r>
      <w:proofErr w:type="spellEnd"/>
      <w:r w:rsidR="000579BA">
        <w:rPr>
          <w:rFonts w:eastAsia="Arial" w:cs="Arial"/>
        </w:rPr>
        <w:t xml:space="preserve"> (WAF) e balanceamento de carga, </w:t>
      </w:r>
      <w:r w:rsidR="00183745">
        <w:rPr>
          <w:rFonts w:eastAsia="Arial" w:cs="Arial"/>
        </w:rPr>
        <w:t>conforme pregão eletrônico nº 46/2022 e documento SIAFI 2022NS009017.</w:t>
      </w:r>
    </w:p>
    <w:p w14:paraId="5D9E4F57" w14:textId="77777777" w:rsidR="00052BF1" w:rsidRDefault="00052BF1" w:rsidP="00515607">
      <w:pPr>
        <w:spacing w:line="276" w:lineRule="auto"/>
        <w:jc w:val="both"/>
        <w:rPr>
          <w:rFonts w:ascii="Calibri" w:eastAsia="Arial" w:hAnsi="Calibri" w:cs="Arial"/>
          <w:b/>
          <w:bCs/>
          <w:color w:val="000000" w:themeColor="text1"/>
        </w:rPr>
      </w:pPr>
    </w:p>
    <w:p w14:paraId="0703CC74" w14:textId="5FABD1D9" w:rsidR="00F65091" w:rsidRDefault="00CE4A9E" w:rsidP="00515607">
      <w:pPr>
        <w:spacing w:line="276" w:lineRule="auto"/>
        <w:jc w:val="both"/>
        <w:rPr>
          <w:rFonts w:ascii="Calibri" w:hAnsi="Calibri"/>
          <w:b/>
          <w:bCs/>
        </w:rPr>
      </w:pPr>
      <w:r>
        <w:rPr>
          <w:rFonts w:ascii="Calibri" w:eastAsia="Arial" w:hAnsi="Calibri" w:cs="Arial"/>
          <w:b/>
          <w:bCs/>
          <w:color w:val="000000" w:themeColor="text1"/>
        </w:rPr>
        <w:t>NOTA 0</w:t>
      </w:r>
      <w:r w:rsidR="00021383">
        <w:rPr>
          <w:rFonts w:ascii="Calibri" w:eastAsia="Arial" w:hAnsi="Calibri" w:cs="Arial"/>
          <w:b/>
          <w:bCs/>
          <w:color w:val="000000" w:themeColor="text1"/>
        </w:rPr>
        <w:t>7</w:t>
      </w:r>
      <w:r>
        <w:rPr>
          <w:rFonts w:ascii="Calibri" w:eastAsia="Arial" w:hAnsi="Calibri" w:cs="Arial"/>
          <w:b/>
          <w:bCs/>
          <w:color w:val="000000" w:themeColor="text1"/>
        </w:rPr>
        <w:t xml:space="preserve"> - </w:t>
      </w:r>
      <w:r w:rsidR="00716C2D">
        <w:rPr>
          <w:rFonts w:ascii="Calibri" w:eastAsia="Arial" w:hAnsi="Calibri" w:cs="Arial"/>
          <w:b/>
          <w:bCs/>
          <w:color w:val="000000" w:themeColor="text1"/>
        </w:rPr>
        <w:t>AMORTIZAÇÃO</w:t>
      </w:r>
    </w:p>
    <w:p w14:paraId="37C7269A" w14:textId="77777777" w:rsidR="00F65091" w:rsidRDefault="00716C2D" w:rsidP="00515607">
      <w:pPr>
        <w:spacing w:line="276" w:lineRule="auto"/>
        <w:jc w:val="both"/>
        <w:rPr>
          <w:rFonts w:ascii="Calibri" w:hAnsi="Calibri"/>
        </w:rPr>
      </w:pPr>
      <w:r>
        <w:rPr>
          <w:rFonts w:ascii="Calibri" w:eastAsia="Arial" w:hAnsi="Calibri" w:cs="Arial"/>
          <w:color w:val="000000" w:themeColor="text1"/>
        </w:rPr>
        <w:t xml:space="preserve">A amortização é realizada para elementos patrimoniais de direitos de propriedade e bens intangíveis que tiverem a vida útil econômica limitada e definida. Tem como característica fundamental a redução do valor do bem pela metodologia de quotas constantes. Dessa forma, a vida útil do ativo intangível é classificada em definida ou indefinida e a amortização respectiva apenas ocorrerá para os ativos intangíveis de vida útil definida (limitada). </w:t>
      </w:r>
    </w:p>
    <w:p w14:paraId="743C9607" w14:textId="4649FFC9" w:rsidR="00F65091" w:rsidRPr="00274D78" w:rsidRDefault="00716C2D" w:rsidP="00515607">
      <w:pPr>
        <w:spacing w:line="276" w:lineRule="auto"/>
        <w:jc w:val="both"/>
      </w:pPr>
      <w:r w:rsidRPr="00274D78">
        <w:rPr>
          <w:rFonts w:ascii="Calibri" w:eastAsia="Arial" w:hAnsi="Calibri" w:cs="Arial"/>
        </w:rPr>
        <w:t>Atualmente, a amortização está relacionada a softwares adquiridos</w:t>
      </w:r>
      <w:r w:rsidR="006B34C3" w:rsidRPr="00274D78">
        <w:rPr>
          <w:rFonts w:ascii="Calibri" w:eastAsia="Arial" w:hAnsi="Calibri" w:cs="Arial"/>
        </w:rPr>
        <w:t>, classificados com tendo vida útil definida</w:t>
      </w:r>
      <w:r w:rsidR="0058493C" w:rsidRPr="00274D78">
        <w:rPr>
          <w:rFonts w:ascii="Calibri" w:eastAsia="Arial" w:hAnsi="Calibri" w:cs="Arial"/>
        </w:rPr>
        <w:t xml:space="preserve">, representando o </w:t>
      </w:r>
      <w:r w:rsidRPr="00274D78">
        <w:rPr>
          <w:rFonts w:ascii="Calibri" w:eastAsia="Arial" w:hAnsi="Calibri" w:cs="Arial"/>
        </w:rPr>
        <w:t>valor de R$ 13.181,82</w:t>
      </w:r>
      <w:r w:rsidR="0058493C" w:rsidRPr="00274D78">
        <w:rPr>
          <w:rFonts w:ascii="Calibri" w:eastAsia="Arial" w:hAnsi="Calibri" w:cs="Arial"/>
        </w:rPr>
        <w:t xml:space="preserve"> no final do exercício de 2022.</w:t>
      </w:r>
      <w:r w:rsidR="00274D78" w:rsidRPr="00274D78">
        <w:t xml:space="preserve"> </w:t>
      </w:r>
      <w:r w:rsidRPr="00274D78">
        <w:rPr>
          <w:rFonts w:ascii="Calibri" w:eastAsia="Arial" w:hAnsi="Calibri" w:cs="Arial"/>
        </w:rPr>
        <w:t>Ativos intangíveis com vida útil indefinida não são amortizados. A avaliação de vida útil indefinida é revisada pela Justiça Eleitoral periodicamente para determinar se essa avaliação continua a ser justificável. Caso contrário, a mudança na vida útil de indefinida para definida é feita de forma prospectiva.</w:t>
      </w:r>
    </w:p>
    <w:p w14:paraId="676B1E80" w14:textId="77777777" w:rsidR="00F65091" w:rsidRDefault="00F65091">
      <w:pPr>
        <w:jc w:val="both"/>
        <w:rPr>
          <w:rFonts w:ascii="Calibri" w:eastAsia="Calibri" w:hAnsi="Calibri" w:cs="Calibri"/>
        </w:rPr>
      </w:pPr>
    </w:p>
    <w:p w14:paraId="34576DBA" w14:textId="1DD46D8C" w:rsidR="00D83AF0" w:rsidRDefault="00C416A9" w:rsidP="00D83AF0">
      <w:pPr>
        <w:jc w:val="both"/>
      </w:pPr>
      <w:r>
        <w:rPr>
          <w:rFonts w:eastAsia="Calibri" w:cs="Calibri"/>
          <w:b/>
          <w:bCs/>
        </w:rPr>
        <w:t>2</w:t>
      </w:r>
      <w:r w:rsidR="00D83AF0">
        <w:rPr>
          <w:rFonts w:eastAsia="Calibri" w:cs="Calibri"/>
          <w:b/>
          <w:bCs/>
        </w:rPr>
        <w:t xml:space="preserve">.1.2 </w:t>
      </w:r>
      <w:r w:rsidR="00D83AF0">
        <w:rPr>
          <w:rFonts w:eastAsia="Calibri" w:cs="Calibri"/>
          <w:b/>
          <w:bCs/>
        </w:rPr>
        <w:tab/>
        <w:t>PASSIVO</w:t>
      </w:r>
      <w:r w:rsidR="00D83AF0">
        <w:rPr>
          <w:rFonts w:eastAsia="Calibri" w:cs="Calibri"/>
          <w:b/>
          <w:bCs/>
        </w:rPr>
        <w:br/>
      </w:r>
    </w:p>
    <w:p w14:paraId="137E01F9" w14:textId="27A4BF9C" w:rsidR="00F65091" w:rsidRDefault="00716C2D" w:rsidP="0016557C">
      <w:pPr>
        <w:spacing w:line="276" w:lineRule="auto"/>
        <w:jc w:val="both"/>
        <w:rPr>
          <w:rFonts w:ascii="Calibri" w:eastAsia="Calibri" w:hAnsi="Calibri" w:cs="Calibri"/>
        </w:rPr>
      </w:pPr>
      <w:r>
        <w:rPr>
          <w:rFonts w:eastAsia="Calibri" w:cs="Calibri"/>
          <w:b/>
          <w:bCs/>
        </w:rPr>
        <w:t>Nota 0</w:t>
      </w:r>
      <w:r w:rsidR="00D83AF0">
        <w:rPr>
          <w:rFonts w:eastAsia="Calibri" w:cs="Calibri"/>
          <w:b/>
          <w:bCs/>
        </w:rPr>
        <w:t>8</w:t>
      </w:r>
      <w:r>
        <w:rPr>
          <w:rFonts w:eastAsia="Calibri" w:cs="Calibri"/>
          <w:b/>
          <w:bCs/>
        </w:rPr>
        <w:t xml:space="preserve"> </w:t>
      </w:r>
      <w:r w:rsidR="0016557C">
        <w:rPr>
          <w:rFonts w:eastAsia="Calibri" w:cs="Calibri"/>
          <w:b/>
          <w:bCs/>
        </w:rPr>
        <w:t xml:space="preserve">- </w:t>
      </w:r>
      <w:r w:rsidR="0016557C" w:rsidRPr="0016557C">
        <w:rPr>
          <w:rFonts w:eastAsia="Calibri" w:cs="Calibri"/>
          <w:b/>
          <w:bCs/>
        </w:rPr>
        <w:t>OBRIGAÇÕES</w:t>
      </w:r>
      <w:r w:rsidRPr="0016557C">
        <w:rPr>
          <w:rFonts w:eastAsia="Calibri" w:cs="Calibri"/>
          <w:b/>
          <w:bCs/>
        </w:rPr>
        <w:t xml:space="preserve"> </w:t>
      </w:r>
      <w:r>
        <w:rPr>
          <w:rFonts w:eastAsia="Calibri" w:cs="Calibri"/>
          <w:b/>
          <w:bCs/>
        </w:rPr>
        <w:t>TRAB, PREV E ASSIST. A PAGAR A CURTO PRAZO</w:t>
      </w:r>
    </w:p>
    <w:p w14:paraId="641E6F64" w14:textId="77777777" w:rsidR="00F65091" w:rsidRDefault="00716C2D" w:rsidP="0016557C">
      <w:pPr>
        <w:spacing w:line="276" w:lineRule="auto"/>
        <w:jc w:val="both"/>
      </w:pPr>
      <w:r>
        <w:rPr>
          <w:rFonts w:eastAsia="Calibri" w:cs="Calibri"/>
        </w:rPr>
        <w:t>As Obrigações Trabalhistas, Previdenciárias e Assistenciais a Pagar, a curto e a longo prazo, compreendem as obrigações referentes a salários e remunerações, inclusive os benefícios aos quais os servidores e empregados têm direito, aposentadorias, reformas, pensões, encargos e benefícios assistenciais, bem como os precatórios decorrentes dessas obrigações.</w:t>
      </w:r>
    </w:p>
    <w:p w14:paraId="00173941" w14:textId="0A93EFFB" w:rsidR="00E7251F" w:rsidRPr="0065486A" w:rsidRDefault="00716C2D" w:rsidP="0016557C">
      <w:pPr>
        <w:spacing w:line="276" w:lineRule="auto"/>
        <w:jc w:val="both"/>
        <w:rPr>
          <w:rFonts w:eastAsia="Calibri" w:cs="Calibri"/>
        </w:rPr>
      </w:pPr>
      <w:r w:rsidRPr="0065486A">
        <w:rPr>
          <w:rFonts w:eastAsia="Calibri" w:cs="Calibri"/>
        </w:rPr>
        <w:t xml:space="preserve">Essa conta encerrou o exercício de 2022 com o saldo de R$ 159.612,98. Desse montante, </w:t>
      </w:r>
      <w:r w:rsidR="002C5DC7" w:rsidRPr="0065486A">
        <w:rPr>
          <w:rFonts w:eastAsia="Calibri" w:cs="Calibri"/>
        </w:rPr>
        <w:t xml:space="preserve">74,36% referem-se </w:t>
      </w:r>
      <w:r w:rsidR="006C0D4D" w:rsidRPr="0065486A">
        <w:rPr>
          <w:rFonts w:eastAsia="Calibri" w:cs="Calibri"/>
        </w:rPr>
        <w:t>a</w:t>
      </w:r>
      <w:r w:rsidR="002C5DC7" w:rsidRPr="0065486A">
        <w:rPr>
          <w:rFonts w:eastAsia="Calibri" w:cs="Calibri"/>
        </w:rPr>
        <w:t xml:space="preserve"> </w:t>
      </w:r>
      <w:r w:rsidR="003A0FA7" w:rsidRPr="0065486A">
        <w:rPr>
          <w:rFonts w:eastAsia="Calibri" w:cs="Calibri"/>
        </w:rPr>
        <w:t>“Salários, Remunerações e Benefícios”</w:t>
      </w:r>
      <w:r w:rsidR="002E21CF" w:rsidRPr="0065486A">
        <w:rPr>
          <w:rFonts w:eastAsia="Calibri" w:cs="Calibri"/>
        </w:rPr>
        <w:t>, decorrente das horas extras</w:t>
      </w:r>
      <w:r w:rsidR="00D533CC" w:rsidRPr="0065486A">
        <w:rPr>
          <w:rFonts w:eastAsia="Calibri" w:cs="Calibri"/>
        </w:rPr>
        <w:t xml:space="preserve"> efetuados pelos</w:t>
      </w:r>
      <w:r w:rsidR="002E21CF" w:rsidRPr="0065486A">
        <w:rPr>
          <w:rFonts w:eastAsia="Calibri" w:cs="Calibri"/>
        </w:rPr>
        <w:t xml:space="preserve"> servidores </w:t>
      </w:r>
      <w:r w:rsidR="00850D03" w:rsidRPr="0065486A">
        <w:rPr>
          <w:rFonts w:eastAsia="Calibri" w:cs="Calibri"/>
        </w:rPr>
        <w:t>decorrentes das</w:t>
      </w:r>
      <w:r w:rsidR="00D533CC" w:rsidRPr="0065486A">
        <w:rPr>
          <w:rFonts w:eastAsia="Calibri" w:cs="Calibri"/>
        </w:rPr>
        <w:t xml:space="preserve"> Eleições Gerais de 2022.</w:t>
      </w:r>
    </w:p>
    <w:p w14:paraId="0FC39B3F" w14:textId="77777777" w:rsidR="00D533CC" w:rsidRDefault="00D533CC" w:rsidP="0016557C">
      <w:pPr>
        <w:spacing w:line="276" w:lineRule="auto"/>
        <w:jc w:val="both"/>
        <w:rPr>
          <w:rFonts w:eastAsia="Calibri" w:cs="Calibri"/>
          <w:b/>
          <w:bCs/>
        </w:rPr>
      </w:pPr>
    </w:p>
    <w:p w14:paraId="12C9B8DB" w14:textId="686A30C5" w:rsidR="00F65091" w:rsidRDefault="00716C2D" w:rsidP="0016557C">
      <w:pPr>
        <w:spacing w:line="276" w:lineRule="auto"/>
        <w:jc w:val="both"/>
        <w:rPr>
          <w:rFonts w:ascii="Calibri" w:eastAsia="Calibri" w:hAnsi="Calibri" w:cs="Calibri"/>
        </w:rPr>
      </w:pPr>
      <w:r>
        <w:rPr>
          <w:rFonts w:eastAsia="Calibri" w:cs="Calibri"/>
          <w:b/>
          <w:bCs/>
        </w:rPr>
        <w:t>Nota 0</w:t>
      </w:r>
      <w:r w:rsidR="006E5881">
        <w:rPr>
          <w:rFonts w:eastAsia="Calibri" w:cs="Calibri"/>
          <w:b/>
          <w:bCs/>
        </w:rPr>
        <w:t>9</w:t>
      </w:r>
      <w:r>
        <w:rPr>
          <w:rFonts w:eastAsia="Calibri" w:cs="Calibri"/>
          <w:b/>
          <w:bCs/>
        </w:rPr>
        <w:t xml:space="preserve"> - FORNECEDORES E CONTAS A PAGAR A CURTO PRAZO</w:t>
      </w:r>
    </w:p>
    <w:p w14:paraId="313B97B1" w14:textId="23DB53C2" w:rsidR="00F65091" w:rsidRDefault="006E5881" w:rsidP="0016557C">
      <w:pPr>
        <w:spacing w:line="276" w:lineRule="auto"/>
        <w:jc w:val="both"/>
      </w:pPr>
      <w:r>
        <w:br/>
      </w:r>
      <w:r w:rsidR="00716C2D">
        <w:t xml:space="preserve">No </w:t>
      </w:r>
      <w:r>
        <w:t xml:space="preserve">encerramento </w:t>
      </w:r>
      <w:r w:rsidR="00716C2D">
        <w:t xml:space="preserve">do exercício de 2022, o TRE/ES apresentou um saldo de R$ 2.243.278,93 referente </w:t>
      </w:r>
      <w:proofErr w:type="gramStart"/>
      <w:r w:rsidR="00716C2D">
        <w:t>à</w:t>
      </w:r>
      <w:proofErr w:type="gramEnd"/>
      <w:r w:rsidR="00716C2D">
        <w:t xml:space="preserve"> obrigações com Fornecedores a Pagar a Curto Prazo, o que representou um acréscimo de 684,67% em relação ao exercício de 2021, conforme apresentado na tabela a seguir:</w:t>
      </w:r>
    </w:p>
    <w:p w14:paraId="6C42070B" w14:textId="77777777" w:rsidR="0065486A" w:rsidRDefault="0065486A" w:rsidP="0016557C">
      <w:pPr>
        <w:spacing w:line="276" w:lineRule="auto"/>
        <w:jc w:val="both"/>
      </w:pPr>
    </w:p>
    <w:p w14:paraId="10C8C8D6" w14:textId="77777777" w:rsidR="0065486A" w:rsidRDefault="0065486A" w:rsidP="0016557C">
      <w:pPr>
        <w:spacing w:line="276" w:lineRule="auto"/>
        <w:jc w:val="both"/>
      </w:pPr>
    </w:p>
    <w:p w14:paraId="2DF112E0" w14:textId="149C5C94" w:rsidR="00CD5CFD" w:rsidRDefault="00716C2D" w:rsidP="00CD5CFD">
      <w:pPr>
        <w:spacing w:after="0" w:line="360" w:lineRule="auto"/>
        <w:jc w:val="center"/>
      </w:pPr>
      <w:r>
        <w:rPr>
          <w:rFonts w:eastAsia="Arial" w:cs="Arial"/>
          <w:b/>
          <w:bCs/>
        </w:rPr>
        <w:lastRenderedPageBreak/>
        <w:t xml:space="preserve">Tabela </w:t>
      </w:r>
      <w:r w:rsidR="006C3524">
        <w:rPr>
          <w:rFonts w:eastAsia="Arial" w:cs="Arial"/>
          <w:b/>
          <w:bCs/>
        </w:rPr>
        <w:t>9</w:t>
      </w:r>
      <w:r>
        <w:rPr>
          <w:rFonts w:eastAsia="Arial" w:cs="Arial"/>
          <w:b/>
          <w:bCs/>
        </w:rPr>
        <w:t xml:space="preserve"> – Fornecedores a Pagar R$</w:t>
      </w:r>
    </w:p>
    <w:tbl>
      <w:tblPr>
        <w:tblStyle w:val="ListaColorida-nfase6"/>
        <w:tblW w:w="7604" w:type="dxa"/>
        <w:tblInd w:w="1134" w:type="dxa"/>
        <w:tblLayout w:type="fixed"/>
        <w:tblLook w:val="0680" w:firstRow="0" w:lastRow="0" w:firstColumn="1" w:lastColumn="0" w:noHBand="1" w:noVBand="1"/>
      </w:tblPr>
      <w:tblGrid>
        <w:gridCol w:w="3119"/>
        <w:gridCol w:w="1726"/>
        <w:gridCol w:w="1725"/>
        <w:gridCol w:w="1034"/>
      </w:tblGrid>
      <w:tr w:rsidR="00097B11" w14:paraId="22E67CB7" w14:textId="77777777" w:rsidTr="009739AF">
        <w:trPr>
          <w:trHeight w:val="300"/>
        </w:trPr>
        <w:tc>
          <w:tcPr>
            <w:cnfStyle w:val="001000000000" w:firstRow="0" w:lastRow="0" w:firstColumn="1" w:lastColumn="0" w:oddVBand="0" w:evenVBand="0" w:oddHBand="0" w:evenHBand="0" w:firstRowFirstColumn="0" w:firstRowLastColumn="0" w:lastRowFirstColumn="0" w:lastRowLastColumn="0"/>
            <w:tcW w:w="3119" w:type="dxa"/>
          </w:tcPr>
          <w:p w14:paraId="7A5A4476" w14:textId="0209ADCD" w:rsidR="00097B11" w:rsidRPr="00CD5CFD" w:rsidRDefault="00097B11" w:rsidP="00097B11">
            <w:pPr>
              <w:spacing w:after="0" w:line="360" w:lineRule="auto"/>
              <w:rPr>
                <w:rFonts w:ascii="Calibri" w:eastAsia="Calibri" w:hAnsi="Calibri" w:cs="Calibri"/>
              </w:rPr>
            </w:pPr>
          </w:p>
        </w:tc>
        <w:tc>
          <w:tcPr>
            <w:tcW w:w="1726" w:type="dxa"/>
          </w:tcPr>
          <w:p w14:paraId="74016BE8" w14:textId="79074867" w:rsidR="00097B11" w:rsidRPr="00E75705" w:rsidRDefault="00097B11" w:rsidP="00097B11">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31/12/2022</w:t>
            </w:r>
          </w:p>
        </w:tc>
        <w:tc>
          <w:tcPr>
            <w:tcW w:w="1725" w:type="dxa"/>
          </w:tcPr>
          <w:p w14:paraId="7595AC06" w14:textId="4A1AB45F" w:rsidR="00097B11" w:rsidRPr="00E75705" w:rsidRDefault="00097B11" w:rsidP="00097B11">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31/12/2021</w:t>
            </w:r>
          </w:p>
        </w:tc>
        <w:tc>
          <w:tcPr>
            <w:tcW w:w="1034" w:type="dxa"/>
          </w:tcPr>
          <w:p w14:paraId="09F54F0E" w14:textId="6763B97C" w:rsidR="00097B11" w:rsidRPr="00E75705" w:rsidRDefault="00097B11" w:rsidP="00097B11">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A</w:t>
            </w:r>
            <w:r>
              <w:rPr>
                <w:rFonts w:eastAsia="Calibri" w:cs="Calibri"/>
                <w:b/>
                <w:bCs/>
              </w:rPr>
              <w:t>H</w:t>
            </w:r>
            <w:r w:rsidRPr="00E75705">
              <w:rPr>
                <w:rFonts w:eastAsia="Calibri" w:cs="Calibri"/>
                <w:b/>
                <w:bCs/>
              </w:rPr>
              <w:t xml:space="preserve"> %</w:t>
            </w:r>
          </w:p>
        </w:tc>
      </w:tr>
      <w:tr w:rsidR="00097B11" w14:paraId="67C98236" w14:textId="77777777" w:rsidTr="009739AF">
        <w:trPr>
          <w:trHeight w:val="300"/>
        </w:trPr>
        <w:tc>
          <w:tcPr>
            <w:cnfStyle w:val="001000000000" w:firstRow="0" w:lastRow="0" w:firstColumn="1" w:lastColumn="0" w:oddVBand="0" w:evenVBand="0" w:oddHBand="0" w:evenHBand="0" w:firstRowFirstColumn="0" w:firstRowLastColumn="0" w:lastRowFirstColumn="0" w:lastRowLastColumn="0"/>
            <w:tcW w:w="3119" w:type="dxa"/>
          </w:tcPr>
          <w:p w14:paraId="22D83361" w14:textId="716D1D4B" w:rsidR="00097B11" w:rsidRDefault="00097B11" w:rsidP="00097B11">
            <w:pPr>
              <w:spacing w:after="0" w:line="360" w:lineRule="auto"/>
              <w:rPr>
                <w:rFonts w:eastAsia="Calibri" w:cs="Calibri"/>
              </w:rPr>
            </w:pPr>
            <w:proofErr w:type="spellStart"/>
            <w:r>
              <w:rPr>
                <w:rFonts w:eastAsia="Calibri" w:cs="Calibri"/>
              </w:rPr>
              <w:t>Fornec</w:t>
            </w:r>
            <w:proofErr w:type="spellEnd"/>
            <w:r>
              <w:rPr>
                <w:rFonts w:eastAsia="Calibri" w:cs="Calibri"/>
              </w:rPr>
              <w:t>. e Contas a Pagar</w:t>
            </w:r>
          </w:p>
        </w:tc>
        <w:tc>
          <w:tcPr>
            <w:tcW w:w="1726" w:type="dxa"/>
          </w:tcPr>
          <w:p w14:paraId="5B37DFD0" w14:textId="63421F47" w:rsidR="00097B11" w:rsidRDefault="00097B11" w:rsidP="00097B11">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rPr>
            </w:pPr>
            <w:r>
              <w:rPr>
                <w:rFonts w:eastAsia="Calibri" w:cs="Calibri"/>
              </w:rPr>
              <w:t>2.243.278,93</w:t>
            </w:r>
          </w:p>
        </w:tc>
        <w:tc>
          <w:tcPr>
            <w:tcW w:w="1725" w:type="dxa"/>
          </w:tcPr>
          <w:p w14:paraId="099204A9" w14:textId="7AB6C26D" w:rsidR="00097B11" w:rsidRDefault="00097B11" w:rsidP="00097B11">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rPr>
            </w:pPr>
            <w:r>
              <w:rPr>
                <w:rFonts w:eastAsia="Calibri" w:cs="Calibri"/>
              </w:rPr>
              <w:t>327.642,24</w:t>
            </w:r>
          </w:p>
        </w:tc>
        <w:tc>
          <w:tcPr>
            <w:tcW w:w="1034" w:type="dxa"/>
          </w:tcPr>
          <w:p w14:paraId="41C96F8E" w14:textId="504DD56B" w:rsidR="00097B11" w:rsidRDefault="00097B11" w:rsidP="00097B11">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rPr>
            </w:pPr>
            <w:r>
              <w:rPr>
                <w:rFonts w:eastAsia="Calibri" w:cs="Calibri"/>
              </w:rPr>
              <w:t>684,67</w:t>
            </w:r>
          </w:p>
        </w:tc>
      </w:tr>
    </w:tbl>
    <w:p w14:paraId="0A45A4D9" w14:textId="3C1C0B31" w:rsidR="00F65091" w:rsidRDefault="00CD5CFD">
      <w:pPr>
        <w:spacing w:line="360" w:lineRule="auto"/>
        <w:jc w:val="both"/>
        <w:rPr>
          <w:rFonts w:ascii="Calibri" w:eastAsia="Calibri" w:hAnsi="Calibri" w:cs="Calibri"/>
          <w:color w:val="FF0000"/>
        </w:rPr>
      </w:pPr>
      <w:r>
        <w:t xml:space="preserve">   </w:t>
      </w:r>
      <w:r w:rsidR="00716C2D">
        <w:rPr>
          <w:rFonts w:eastAsia="Calibri" w:cs="Calibri"/>
          <w:sz w:val="18"/>
          <w:szCs w:val="18"/>
        </w:rPr>
        <w:tab/>
        <w:t xml:space="preserve">     </w:t>
      </w:r>
      <w:r>
        <w:rPr>
          <w:rFonts w:eastAsia="Calibri" w:cs="Calibri"/>
          <w:sz w:val="18"/>
          <w:szCs w:val="18"/>
        </w:rPr>
        <w:t xml:space="preserve">     </w:t>
      </w:r>
      <w:r w:rsidR="00716C2D">
        <w:rPr>
          <w:rFonts w:eastAsia="Calibri" w:cs="Calibri"/>
          <w:sz w:val="18"/>
          <w:szCs w:val="18"/>
        </w:rPr>
        <w:t xml:space="preserve"> Fonte: SIAFI</w:t>
      </w:r>
    </w:p>
    <w:p w14:paraId="2CD1C4E4" w14:textId="25EB1124" w:rsidR="00F65091" w:rsidRDefault="00716C2D" w:rsidP="00145E5A">
      <w:pPr>
        <w:spacing w:line="276" w:lineRule="auto"/>
        <w:jc w:val="both"/>
        <w:rPr>
          <w:rFonts w:ascii="Calibri" w:eastAsia="Calibri" w:hAnsi="Calibri" w:cs="Calibri"/>
        </w:rPr>
      </w:pPr>
      <w:r>
        <w:rPr>
          <w:rFonts w:eastAsia="Calibri" w:cs="Calibri"/>
        </w:rPr>
        <w:t>Esse acréscimo decorre, principalmente, por despesas e contas relacionadas as Eleições Gerais de 202</w:t>
      </w:r>
      <w:r w:rsidR="00590FD3">
        <w:rPr>
          <w:rFonts w:eastAsia="Calibri" w:cs="Calibri"/>
        </w:rPr>
        <w:t xml:space="preserve">2. Como se observa na tabela a seguir, </w:t>
      </w:r>
      <w:r w:rsidR="00822345">
        <w:rPr>
          <w:rFonts w:eastAsia="Calibri" w:cs="Calibri"/>
        </w:rPr>
        <w:t xml:space="preserve">do total da conta “Fornecedores a Contas a Pagar”, </w:t>
      </w:r>
      <w:r w:rsidR="00590FD3">
        <w:rPr>
          <w:rFonts w:eastAsia="Calibri" w:cs="Calibri"/>
        </w:rPr>
        <w:t xml:space="preserve">71,73% </w:t>
      </w:r>
      <w:r w:rsidR="00822345">
        <w:rPr>
          <w:rFonts w:eastAsia="Calibri" w:cs="Calibri"/>
        </w:rPr>
        <w:t xml:space="preserve">refere-se aos serviços de técnicos de urna </w:t>
      </w:r>
      <w:r w:rsidR="00E72768">
        <w:rPr>
          <w:rFonts w:eastAsia="Calibri" w:cs="Calibri"/>
        </w:rPr>
        <w:t>contratados para as eleições de 2022.</w:t>
      </w:r>
      <w:r w:rsidR="00822345">
        <w:rPr>
          <w:rFonts w:eastAsia="Calibri" w:cs="Calibri"/>
        </w:rPr>
        <w:t xml:space="preserve"> </w:t>
      </w:r>
    </w:p>
    <w:p w14:paraId="067B312E" w14:textId="42BC4834" w:rsidR="00F65091" w:rsidRDefault="00716C2D" w:rsidP="00145E5A">
      <w:pPr>
        <w:spacing w:line="276" w:lineRule="auto"/>
        <w:jc w:val="both"/>
      </w:pPr>
      <w:r>
        <w:t>A seguir, demonstramos</w:t>
      </w:r>
      <w:r w:rsidR="00E72768">
        <w:t xml:space="preserve"> os</w:t>
      </w:r>
      <w:r>
        <w:t xml:space="preserve"> credores mais significativos e o saldo em aberto em 31/12/2022:</w:t>
      </w:r>
      <w:r w:rsidR="00971A74">
        <w:br/>
      </w:r>
    </w:p>
    <w:p w14:paraId="3F1A56BA" w14:textId="1CD4647C" w:rsidR="00F65091" w:rsidRDefault="00716C2D">
      <w:pPr>
        <w:spacing w:after="0" w:line="240" w:lineRule="auto"/>
        <w:jc w:val="center"/>
        <w:rPr>
          <w:rFonts w:eastAsia="Arial" w:cs="Arial"/>
          <w:b/>
          <w:bCs/>
        </w:rPr>
      </w:pPr>
      <w:r>
        <w:rPr>
          <w:rFonts w:eastAsia="Arial" w:cs="Arial"/>
          <w:b/>
          <w:bCs/>
        </w:rPr>
        <w:t xml:space="preserve">Tabela </w:t>
      </w:r>
      <w:r w:rsidR="006C3524">
        <w:rPr>
          <w:rFonts w:eastAsia="Arial" w:cs="Arial"/>
          <w:b/>
          <w:bCs/>
        </w:rPr>
        <w:t>10</w:t>
      </w:r>
      <w:r>
        <w:rPr>
          <w:rFonts w:eastAsia="Arial" w:cs="Arial"/>
          <w:b/>
          <w:bCs/>
        </w:rPr>
        <w:t xml:space="preserve"> – Fornecedores a Pagar – Por Fornecedor R$</w:t>
      </w:r>
    </w:p>
    <w:tbl>
      <w:tblPr>
        <w:tblStyle w:val="ListaColorida-nfase6"/>
        <w:tblpPr w:leftFromText="141" w:rightFromText="141" w:vertAnchor="text" w:horzAnchor="margin" w:tblpXSpec="center" w:tblpY="151"/>
        <w:tblW w:w="8931" w:type="dxa"/>
        <w:tblLayout w:type="fixed"/>
        <w:tblLook w:val="0680" w:firstRow="0" w:lastRow="0" w:firstColumn="1" w:lastColumn="0" w:noHBand="1" w:noVBand="1"/>
      </w:tblPr>
      <w:tblGrid>
        <w:gridCol w:w="3402"/>
        <w:gridCol w:w="1726"/>
        <w:gridCol w:w="1034"/>
        <w:gridCol w:w="2769"/>
      </w:tblGrid>
      <w:tr w:rsidR="00850D03" w14:paraId="6AE55481" w14:textId="77777777" w:rsidTr="00850D03">
        <w:trPr>
          <w:trHeight w:val="300"/>
        </w:trPr>
        <w:tc>
          <w:tcPr>
            <w:cnfStyle w:val="001000000000" w:firstRow="0" w:lastRow="0" w:firstColumn="1" w:lastColumn="0" w:oddVBand="0" w:evenVBand="0" w:oddHBand="0" w:evenHBand="0" w:firstRowFirstColumn="0" w:firstRowLastColumn="0" w:lastRowFirstColumn="0" w:lastRowLastColumn="0"/>
            <w:tcW w:w="3402" w:type="dxa"/>
          </w:tcPr>
          <w:p w14:paraId="5FF406A2" w14:textId="77777777" w:rsidR="00850D03" w:rsidRPr="00CD5CFD" w:rsidRDefault="00850D03" w:rsidP="00850D03">
            <w:pPr>
              <w:spacing w:after="0" w:line="360" w:lineRule="auto"/>
              <w:rPr>
                <w:rFonts w:ascii="Calibri" w:eastAsia="Calibri" w:hAnsi="Calibri" w:cs="Calibri"/>
              </w:rPr>
            </w:pPr>
            <w:r>
              <w:rPr>
                <w:rFonts w:ascii="Calibri" w:eastAsia="Calibri" w:hAnsi="Calibri" w:cs="Calibri"/>
              </w:rPr>
              <w:t>Fornecedores a Pagar</w:t>
            </w:r>
          </w:p>
        </w:tc>
        <w:tc>
          <w:tcPr>
            <w:tcW w:w="1726" w:type="dxa"/>
          </w:tcPr>
          <w:p w14:paraId="2FAF6911" w14:textId="77777777" w:rsidR="00850D03" w:rsidRPr="00E75705"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31/12/2022</w:t>
            </w:r>
          </w:p>
        </w:tc>
        <w:tc>
          <w:tcPr>
            <w:tcW w:w="1034" w:type="dxa"/>
          </w:tcPr>
          <w:p w14:paraId="775E8072" w14:textId="77777777" w:rsidR="00850D03" w:rsidRPr="00E75705"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sidRPr="00E75705">
              <w:rPr>
                <w:rFonts w:eastAsia="Calibri" w:cs="Calibri"/>
                <w:b/>
                <w:bCs/>
              </w:rPr>
              <w:t>A</w:t>
            </w:r>
            <w:r>
              <w:rPr>
                <w:rFonts w:eastAsia="Calibri" w:cs="Calibri"/>
                <w:b/>
                <w:bCs/>
              </w:rPr>
              <w:t>V</w:t>
            </w:r>
            <w:r w:rsidRPr="00E75705">
              <w:rPr>
                <w:rFonts w:eastAsia="Calibri" w:cs="Calibri"/>
                <w:b/>
                <w:bCs/>
              </w:rPr>
              <w:t xml:space="preserve"> %</w:t>
            </w:r>
          </w:p>
        </w:tc>
        <w:tc>
          <w:tcPr>
            <w:tcW w:w="2769" w:type="dxa"/>
          </w:tcPr>
          <w:p w14:paraId="7F729C5B" w14:textId="77777777" w:rsidR="00850D03" w:rsidRPr="00E75705"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b/>
                <w:bCs/>
              </w:rPr>
            </w:pPr>
            <w:r>
              <w:rPr>
                <w:rFonts w:eastAsia="Calibri" w:cs="Calibri"/>
                <w:b/>
                <w:bCs/>
              </w:rPr>
              <w:t>Objeto</w:t>
            </w:r>
          </w:p>
        </w:tc>
      </w:tr>
      <w:tr w:rsidR="00850D03" w14:paraId="608F66F2" w14:textId="77777777" w:rsidTr="00850D03">
        <w:trPr>
          <w:trHeight w:val="300"/>
        </w:trPr>
        <w:tc>
          <w:tcPr>
            <w:cnfStyle w:val="001000000000" w:firstRow="0" w:lastRow="0" w:firstColumn="1" w:lastColumn="0" w:oddVBand="0" w:evenVBand="0" w:oddHBand="0" w:evenHBand="0" w:firstRowFirstColumn="0" w:firstRowLastColumn="0" w:lastRowFirstColumn="0" w:lastRowLastColumn="0"/>
            <w:tcW w:w="3402" w:type="dxa"/>
          </w:tcPr>
          <w:p w14:paraId="7AE7C608" w14:textId="77777777" w:rsidR="00850D03" w:rsidRPr="00C35370" w:rsidRDefault="00850D03" w:rsidP="00850D03">
            <w:pPr>
              <w:spacing w:after="0" w:line="360" w:lineRule="auto"/>
              <w:rPr>
                <w:rFonts w:ascii="Calibri" w:eastAsia="Calibri" w:hAnsi="Calibri" w:cs="Calibri"/>
                <w:b w:val="0"/>
                <w:bCs w:val="0"/>
              </w:rPr>
            </w:pPr>
            <w:r w:rsidRPr="00C35370">
              <w:rPr>
                <w:rFonts w:eastAsia="Calibri" w:cs="Calibri"/>
                <w:b w:val="0"/>
                <w:bCs w:val="0"/>
              </w:rPr>
              <w:t>Inova Tecnol. Em Serv. LTDA</w:t>
            </w:r>
          </w:p>
        </w:tc>
        <w:tc>
          <w:tcPr>
            <w:tcW w:w="1726" w:type="dxa"/>
          </w:tcPr>
          <w:p w14:paraId="28A513C6" w14:textId="77777777" w:rsidR="00850D03" w:rsidRPr="00E75705"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Pr>
                <w:rFonts w:eastAsia="Calibri" w:cs="Calibri"/>
              </w:rPr>
              <w:t>1.601.112,69</w:t>
            </w:r>
          </w:p>
        </w:tc>
        <w:tc>
          <w:tcPr>
            <w:tcW w:w="1034" w:type="dxa"/>
          </w:tcPr>
          <w:p w14:paraId="5FF457F0" w14:textId="77777777" w:rsidR="00850D03" w:rsidRPr="00D8343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D83431">
              <w:rPr>
                <w:rFonts w:ascii="Calibri" w:eastAsia="Calibri" w:hAnsi="Calibri" w:cs="Calibri"/>
              </w:rPr>
              <w:t>71,73</w:t>
            </w:r>
          </w:p>
        </w:tc>
        <w:tc>
          <w:tcPr>
            <w:tcW w:w="2769" w:type="dxa"/>
          </w:tcPr>
          <w:p w14:paraId="3BDE7731" w14:textId="77777777" w:rsidR="00850D03" w:rsidRPr="00BE0913"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Serv. Técnicos de Urna</w:t>
            </w:r>
          </w:p>
        </w:tc>
      </w:tr>
      <w:tr w:rsidR="00850D03" w14:paraId="014E85D7" w14:textId="77777777" w:rsidTr="00850D03">
        <w:trPr>
          <w:trHeight w:val="300"/>
        </w:trPr>
        <w:tc>
          <w:tcPr>
            <w:cnfStyle w:val="001000000000" w:firstRow="0" w:lastRow="0" w:firstColumn="1" w:lastColumn="0" w:oddVBand="0" w:evenVBand="0" w:oddHBand="0" w:evenHBand="0" w:firstRowFirstColumn="0" w:firstRowLastColumn="0" w:lastRowFirstColumn="0" w:lastRowLastColumn="0"/>
            <w:tcW w:w="3402" w:type="dxa"/>
          </w:tcPr>
          <w:p w14:paraId="786D2B13" w14:textId="77777777" w:rsidR="00850D03" w:rsidRPr="00E94411" w:rsidRDefault="00850D03" w:rsidP="00850D03">
            <w:pPr>
              <w:spacing w:after="0" w:line="360" w:lineRule="auto"/>
              <w:rPr>
                <w:rFonts w:ascii="Calibri" w:eastAsia="Calibri" w:hAnsi="Calibri" w:cs="Calibri"/>
                <w:b w:val="0"/>
                <w:bCs w:val="0"/>
              </w:rPr>
            </w:pPr>
            <w:r>
              <w:rPr>
                <w:rFonts w:ascii="Calibri" w:eastAsia="Calibri" w:hAnsi="Calibri" w:cs="Calibri"/>
                <w:b w:val="0"/>
                <w:bCs w:val="0"/>
              </w:rPr>
              <w:t>AI SIM Comércio Ltda</w:t>
            </w:r>
          </w:p>
        </w:tc>
        <w:tc>
          <w:tcPr>
            <w:tcW w:w="1726" w:type="dxa"/>
          </w:tcPr>
          <w:p w14:paraId="0F1A7DF4"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94411">
              <w:rPr>
                <w:rFonts w:ascii="Calibri" w:eastAsia="Calibri" w:hAnsi="Calibri" w:cs="Calibri"/>
              </w:rPr>
              <w:t>149.999,92</w:t>
            </w:r>
          </w:p>
        </w:tc>
        <w:tc>
          <w:tcPr>
            <w:tcW w:w="1034" w:type="dxa"/>
          </w:tcPr>
          <w:p w14:paraId="065EAB79" w14:textId="77777777" w:rsidR="00850D03" w:rsidRPr="00D8343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6,68</w:t>
            </w:r>
          </w:p>
        </w:tc>
        <w:tc>
          <w:tcPr>
            <w:tcW w:w="2769" w:type="dxa"/>
          </w:tcPr>
          <w:p w14:paraId="78E4EC6A"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Aquisição de notebooks</w:t>
            </w:r>
          </w:p>
        </w:tc>
      </w:tr>
      <w:tr w:rsidR="00850D03" w14:paraId="6F7DE732" w14:textId="77777777" w:rsidTr="00850D03">
        <w:trPr>
          <w:trHeight w:val="300"/>
        </w:trPr>
        <w:tc>
          <w:tcPr>
            <w:cnfStyle w:val="001000000000" w:firstRow="0" w:lastRow="0" w:firstColumn="1" w:lastColumn="0" w:oddVBand="0" w:evenVBand="0" w:oddHBand="0" w:evenHBand="0" w:firstRowFirstColumn="0" w:firstRowLastColumn="0" w:lastRowFirstColumn="0" w:lastRowLastColumn="0"/>
            <w:tcW w:w="3402" w:type="dxa"/>
          </w:tcPr>
          <w:p w14:paraId="3C7128CD" w14:textId="77777777" w:rsidR="00850D03" w:rsidRPr="00E94411" w:rsidRDefault="00850D03" w:rsidP="00850D03">
            <w:pPr>
              <w:spacing w:after="0" w:line="360" w:lineRule="auto"/>
              <w:rPr>
                <w:rFonts w:ascii="Calibri" w:eastAsia="Calibri" w:hAnsi="Calibri" w:cs="Calibri"/>
                <w:b w:val="0"/>
                <w:bCs w:val="0"/>
              </w:rPr>
            </w:pPr>
            <w:r>
              <w:rPr>
                <w:rFonts w:ascii="Calibri" w:eastAsia="Calibri" w:hAnsi="Calibri" w:cs="Calibri"/>
                <w:b w:val="0"/>
                <w:bCs w:val="0"/>
              </w:rPr>
              <w:t xml:space="preserve">Liderança </w:t>
            </w:r>
            <w:proofErr w:type="spellStart"/>
            <w:r>
              <w:rPr>
                <w:rFonts w:ascii="Calibri" w:eastAsia="Calibri" w:hAnsi="Calibri" w:cs="Calibri"/>
                <w:b w:val="0"/>
                <w:bCs w:val="0"/>
              </w:rPr>
              <w:t>Limp</w:t>
            </w:r>
            <w:proofErr w:type="spellEnd"/>
            <w:r>
              <w:rPr>
                <w:rFonts w:ascii="Calibri" w:eastAsia="Calibri" w:hAnsi="Calibri" w:cs="Calibri"/>
                <w:b w:val="0"/>
                <w:bCs w:val="0"/>
              </w:rPr>
              <w:t xml:space="preserve">. E </w:t>
            </w:r>
            <w:proofErr w:type="spellStart"/>
            <w:r>
              <w:rPr>
                <w:rFonts w:ascii="Calibri" w:eastAsia="Calibri" w:hAnsi="Calibri" w:cs="Calibri"/>
                <w:b w:val="0"/>
                <w:bCs w:val="0"/>
              </w:rPr>
              <w:t>Conserv</w:t>
            </w:r>
            <w:proofErr w:type="spellEnd"/>
            <w:r>
              <w:rPr>
                <w:rFonts w:ascii="Calibri" w:eastAsia="Calibri" w:hAnsi="Calibri" w:cs="Calibri"/>
                <w:b w:val="0"/>
                <w:bCs w:val="0"/>
              </w:rPr>
              <w:t>. LTDA</w:t>
            </w:r>
          </w:p>
        </w:tc>
        <w:tc>
          <w:tcPr>
            <w:tcW w:w="1726" w:type="dxa"/>
          </w:tcPr>
          <w:p w14:paraId="5C3713F1"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100.333,46</w:t>
            </w:r>
          </w:p>
        </w:tc>
        <w:tc>
          <w:tcPr>
            <w:tcW w:w="1034" w:type="dxa"/>
          </w:tcPr>
          <w:p w14:paraId="4804F731" w14:textId="77777777" w:rsidR="00850D03" w:rsidRPr="00D8343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4,47</w:t>
            </w:r>
          </w:p>
        </w:tc>
        <w:tc>
          <w:tcPr>
            <w:tcW w:w="2769" w:type="dxa"/>
          </w:tcPr>
          <w:p w14:paraId="018BE932"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Serv. Terceirizados Diversos</w:t>
            </w:r>
          </w:p>
        </w:tc>
      </w:tr>
      <w:tr w:rsidR="00850D03" w14:paraId="05706C97" w14:textId="77777777" w:rsidTr="00850D03">
        <w:trPr>
          <w:trHeight w:val="300"/>
        </w:trPr>
        <w:tc>
          <w:tcPr>
            <w:cnfStyle w:val="001000000000" w:firstRow="0" w:lastRow="0" w:firstColumn="1" w:lastColumn="0" w:oddVBand="0" w:evenVBand="0" w:oddHBand="0" w:evenHBand="0" w:firstRowFirstColumn="0" w:firstRowLastColumn="0" w:lastRowFirstColumn="0" w:lastRowLastColumn="0"/>
            <w:tcW w:w="3402" w:type="dxa"/>
          </w:tcPr>
          <w:p w14:paraId="4C1B66AB" w14:textId="77777777" w:rsidR="00850D03" w:rsidRPr="007444F3" w:rsidRDefault="00850D03" w:rsidP="00850D03">
            <w:pPr>
              <w:spacing w:after="0" w:line="360" w:lineRule="auto"/>
              <w:rPr>
                <w:rFonts w:ascii="Calibri" w:eastAsia="Calibri" w:hAnsi="Calibri" w:cs="Calibri"/>
                <w:b w:val="0"/>
                <w:bCs w:val="0"/>
              </w:rPr>
            </w:pPr>
            <w:r>
              <w:rPr>
                <w:rFonts w:ascii="Calibri" w:eastAsia="Calibri" w:hAnsi="Calibri" w:cs="Calibri"/>
                <w:b w:val="0"/>
                <w:bCs w:val="0"/>
              </w:rPr>
              <w:t>WS Serv. Terceirizados LTDA</w:t>
            </w:r>
          </w:p>
        </w:tc>
        <w:tc>
          <w:tcPr>
            <w:tcW w:w="1726" w:type="dxa"/>
          </w:tcPr>
          <w:p w14:paraId="523E9D17"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92.064,96</w:t>
            </w:r>
          </w:p>
        </w:tc>
        <w:tc>
          <w:tcPr>
            <w:tcW w:w="1034" w:type="dxa"/>
          </w:tcPr>
          <w:p w14:paraId="471D5592" w14:textId="77777777" w:rsidR="00850D03" w:rsidRPr="00D8343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4,10</w:t>
            </w:r>
          </w:p>
        </w:tc>
        <w:tc>
          <w:tcPr>
            <w:tcW w:w="2769" w:type="dxa"/>
          </w:tcPr>
          <w:p w14:paraId="4B689030"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Serv. Condução de Veículos</w:t>
            </w:r>
          </w:p>
        </w:tc>
      </w:tr>
      <w:tr w:rsidR="00850D03" w14:paraId="4EF0F91F" w14:textId="77777777" w:rsidTr="00850D03">
        <w:trPr>
          <w:trHeight w:val="300"/>
        </w:trPr>
        <w:tc>
          <w:tcPr>
            <w:cnfStyle w:val="001000000000" w:firstRow="0" w:lastRow="0" w:firstColumn="1" w:lastColumn="0" w:oddVBand="0" w:evenVBand="0" w:oddHBand="0" w:evenHBand="0" w:firstRowFirstColumn="0" w:firstRowLastColumn="0" w:lastRowFirstColumn="0" w:lastRowLastColumn="0"/>
            <w:tcW w:w="3402" w:type="dxa"/>
          </w:tcPr>
          <w:p w14:paraId="45028697" w14:textId="77777777" w:rsidR="00850D03" w:rsidRPr="0024059E" w:rsidRDefault="00850D03" w:rsidP="00850D03">
            <w:pPr>
              <w:spacing w:after="0" w:line="360" w:lineRule="auto"/>
              <w:rPr>
                <w:rFonts w:ascii="Calibri" w:eastAsia="Calibri" w:hAnsi="Calibri" w:cs="Calibri"/>
                <w:b w:val="0"/>
                <w:bCs w:val="0"/>
              </w:rPr>
            </w:pPr>
            <w:r>
              <w:rPr>
                <w:rFonts w:eastAsia="Calibri" w:cs="Calibri"/>
                <w:b w:val="0"/>
                <w:bCs w:val="0"/>
              </w:rPr>
              <w:t>Demais Fornecedores</w:t>
            </w:r>
          </w:p>
        </w:tc>
        <w:tc>
          <w:tcPr>
            <w:tcW w:w="1726" w:type="dxa"/>
          </w:tcPr>
          <w:p w14:paraId="0CF22F5E"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eastAsia="Calibri" w:cs="Calibri"/>
              </w:rPr>
              <w:t>299.768,36</w:t>
            </w:r>
          </w:p>
        </w:tc>
        <w:tc>
          <w:tcPr>
            <w:tcW w:w="1034" w:type="dxa"/>
          </w:tcPr>
          <w:p w14:paraId="420FDAD3"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13,36</w:t>
            </w:r>
          </w:p>
        </w:tc>
        <w:tc>
          <w:tcPr>
            <w:tcW w:w="2769" w:type="dxa"/>
          </w:tcPr>
          <w:p w14:paraId="754ABAE6"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Diversos</w:t>
            </w:r>
          </w:p>
        </w:tc>
      </w:tr>
      <w:tr w:rsidR="00850D03" w14:paraId="177B47C0" w14:textId="77777777" w:rsidTr="00850D03">
        <w:trPr>
          <w:trHeight w:val="300"/>
        </w:trPr>
        <w:tc>
          <w:tcPr>
            <w:cnfStyle w:val="001000000000" w:firstRow="0" w:lastRow="0" w:firstColumn="1" w:lastColumn="0" w:oddVBand="0" w:evenVBand="0" w:oddHBand="0" w:evenHBand="0" w:firstRowFirstColumn="0" w:firstRowLastColumn="0" w:lastRowFirstColumn="0" w:lastRowLastColumn="0"/>
            <w:tcW w:w="3402" w:type="dxa"/>
          </w:tcPr>
          <w:p w14:paraId="0D9205F0" w14:textId="77777777" w:rsidR="00850D03" w:rsidRPr="007444F3" w:rsidRDefault="00850D03" w:rsidP="00850D03">
            <w:pPr>
              <w:spacing w:after="0" w:line="360" w:lineRule="auto"/>
              <w:rPr>
                <w:rFonts w:ascii="Calibri" w:eastAsia="Calibri" w:hAnsi="Calibri" w:cs="Calibri"/>
                <w:b w:val="0"/>
                <w:bCs w:val="0"/>
              </w:rPr>
            </w:pPr>
            <w:r>
              <w:rPr>
                <w:rFonts w:eastAsia="Calibri" w:cs="Calibri"/>
              </w:rPr>
              <w:t xml:space="preserve">Total </w:t>
            </w:r>
            <w:proofErr w:type="spellStart"/>
            <w:r>
              <w:rPr>
                <w:rFonts w:eastAsia="Calibri" w:cs="Calibri"/>
              </w:rPr>
              <w:t>Fornec</w:t>
            </w:r>
            <w:proofErr w:type="spellEnd"/>
            <w:r>
              <w:rPr>
                <w:rFonts w:eastAsia="Calibri" w:cs="Calibri"/>
              </w:rPr>
              <w:t>. e Contas a Pagar</w:t>
            </w:r>
          </w:p>
        </w:tc>
        <w:tc>
          <w:tcPr>
            <w:tcW w:w="1726" w:type="dxa"/>
          </w:tcPr>
          <w:p w14:paraId="35FA7C57"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eastAsia="Calibri" w:cs="Calibri"/>
              </w:rPr>
              <w:t>2.243.278,93</w:t>
            </w:r>
          </w:p>
        </w:tc>
        <w:tc>
          <w:tcPr>
            <w:tcW w:w="1034" w:type="dxa"/>
          </w:tcPr>
          <w:p w14:paraId="6580D944"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100</w:t>
            </w:r>
          </w:p>
        </w:tc>
        <w:tc>
          <w:tcPr>
            <w:tcW w:w="2769" w:type="dxa"/>
          </w:tcPr>
          <w:p w14:paraId="1B1BE05E" w14:textId="77777777" w:rsidR="00850D03" w:rsidRPr="00E94411" w:rsidRDefault="00850D03" w:rsidP="00850D0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r>
    </w:tbl>
    <w:p w14:paraId="5871A7B1" w14:textId="77777777" w:rsidR="006A5A0F" w:rsidRDefault="006A5A0F">
      <w:pPr>
        <w:spacing w:after="0" w:line="240" w:lineRule="auto"/>
        <w:jc w:val="center"/>
        <w:rPr>
          <w:rFonts w:ascii="Calibri" w:eastAsia="Calibri" w:hAnsi="Calibri" w:cs="Calibri"/>
        </w:rPr>
      </w:pPr>
    </w:p>
    <w:p w14:paraId="19CF9089" w14:textId="77777777" w:rsidR="006A5A0F" w:rsidRDefault="006A5A0F" w:rsidP="00850D03">
      <w:pPr>
        <w:spacing w:line="360" w:lineRule="auto"/>
        <w:ind w:left="708"/>
        <w:jc w:val="both"/>
        <w:rPr>
          <w:rFonts w:ascii="Calibri" w:eastAsia="Calibri" w:hAnsi="Calibri" w:cs="Calibri"/>
          <w:color w:val="FF0000"/>
        </w:rPr>
      </w:pPr>
      <w:r>
        <w:t xml:space="preserve">   </w:t>
      </w:r>
      <w:r>
        <w:rPr>
          <w:rFonts w:eastAsia="Calibri" w:cs="Calibri"/>
          <w:sz w:val="18"/>
          <w:szCs w:val="18"/>
        </w:rPr>
        <w:tab/>
        <w:t xml:space="preserve">           Fonte: SIAFI</w:t>
      </w:r>
    </w:p>
    <w:p w14:paraId="19F62F50" w14:textId="77777777" w:rsidR="00F65091" w:rsidRDefault="00F65091">
      <w:pPr>
        <w:spacing w:after="0" w:line="240" w:lineRule="auto"/>
        <w:jc w:val="center"/>
        <w:rPr>
          <w:rFonts w:ascii="Calibri" w:eastAsia="Calibri" w:hAnsi="Calibri" w:cs="Calibri"/>
        </w:rPr>
      </w:pPr>
    </w:p>
    <w:p w14:paraId="5331400B" w14:textId="2CF8FEA5" w:rsidR="00F65091" w:rsidRDefault="00716C2D">
      <w:pPr>
        <w:jc w:val="both"/>
      </w:pPr>
      <w:r>
        <w:rPr>
          <w:rFonts w:eastAsia="Calibri" w:cs="Calibri"/>
          <w:b/>
          <w:bCs/>
        </w:rPr>
        <w:t xml:space="preserve">NOTA </w:t>
      </w:r>
      <w:r w:rsidR="004C6711">
        <w:rPr>
          <w:rFonts w:eastAsia="Calibri" w:cs="Calibri"/>
          <w:b/>
          <w:bCs/>
        </w:rPr>
        <w:t>10</w:t>
      </w:r>
      <w:r>
        <w:rPr>
          <w:rFonts w:eastAsia="Calibri" w:cs="Calibri"/>
          <w:b/>
          <w:bCs/>
        </w:rPr>
        <w:t xml:space="preserve"> – DEMAIS OBRIGAÇÕES A CURTO PRAZO</w:t>
      </w:r>
    </w:p>
    <w:p w14:paraId="2372C2FC" w14:textId="377650F1" w:rsidR="00F65091" w:rsidRDefault="00716C2D">
      <w:pPr>
        <w:jc w:val="both"/>
      </w:pPr>
      <w:r>
        <w:rPr>
          <w:rFonts w:eastAsia="Calibri" w:cs="Calibri"/>
        </w:rPr>
        <w:t xml:space="preserve">Esta conta compreende os valores </w:t>
      </w:r>
      <w:r w:rsidR="00550987">
        <w:rPr>
          <w:rFonts w:eastAsia="Calibri" w:cs="Calibri"/>
        </w:rPr>
        <w:t xml:space="preserve">exigíveis </w:t>
      </w:r>
      <w:r>
        <w:rPr>
          <w:rFonts w:eastAsia="Calibri" w:cs="Calibri"/>
        </w:rPr>
        <w:t>de terceiros ou retenções em nome deles</w:t>
      </w:r>
      <w:r w:rsidR="00550987">
        <w:rPr>
          <w:rFonts w:eastAsia="Calibri" w:cs="Calibri"/>
        </w:rPr>
        <w:t>, no curto prazo</w:t>
      </w:r>
      <w:r>
        <w:rPr>
          <w:rFonts w:eastAsia="Calibri" w:cs="Calibri"/>
        </w:rPr>
        <w:t>, quando o TRE/ES for fiel depositário.</w:t>
      </w:r>
    </w:p>
    <w:p w14:paraId="04AF00FC" w14:textId="085EECD8" w:rsidR="00F65091" w:rsidRDefault="00716C2D">
      <w:pPr>
        <w:jc w:val="both"/>
      </w:pPr>
      <w:r>
        <w:rPr>
          <w:rFonts w:eastAsia="Calibri" w:cs="Calibri"/>
        </w:rPr>
        <w:t xml:space="preserve">No final do exercício de 2022, as obrigações a curto prazo </w:t>
      </w:r>
      <w:r w:rsidR="00CA63EE">
        <w:rPr>
          <w:rFonts w:eastAsia="Calibri" w:cs="Calibri"/>
        </w:rPr>
        <w:t>apresentaram saldo n</w:t>
      </w:r>
      <w:r>
        <w:rPr>
          <w:rFonts w:eastAsia="Calibri" w:cs="Calibri"/>
        </w:rPr>
        <w:t xml:space="preserve">o valor de R$ 381.845,74, </w:t>
      </w:r>
      <w:r w:rsidR="00CA63EE">
        <w:rPr>
          <w:rFonts w:eastAsia="Calibri" w:cs="Calibri"/>
        </w:rPr>
        <w:t xml:space="preserve">ou seja, </w:t>
      </w:r>
      <w:r>
        <w:rPr>
          <w:rFonts w:eastAsia="Calibri" w:cs="Calibri"/>
        </w:rPr>
        <w:t>um aumento de 877,89% em relação a 2021</w:t>
      </w:r>
      <w:r w:rsidR="00C467B5">
        <w:rPr>
          <w:rFonts w:eastAsia="Calibri" w:cs="Calibri"/>
        </w:rPr>
        <w:t>, devido às despesas decorrentes das Eleições Gerais de 2022.</w:t>
      </w:r>
    </w:p>
    <w:p w14:paraId="48C5894E" w14:textId="77777777" w:rsidR="00F65091" w:rsidRDefault="00F65091">
      <w:pPr>
        <w:jc w:val="both"/>
        <w:rPr>
          <w:rFonts w:ascii="Calibri" w:eastAsia="Calibri" w:hAnsi="Calibri" w:cs="Calibri"/>
          <w:b/>
          <w:bCs/>
        </w:rPr>
      </w:pPr>
    </w:p>
    <w:p w14:paraId="5D31534B" w14:textId="64D6CEB1" w:rsidR="00F65091" w:rsidRDefault="00716C2D" w:rsidP="00145E5A">
      <w:pPr>
        <w:spacing w:line="276" w:lineRule="auto"/>
        <w:jc w:val="both"/>
      </w:pPr>
      <w:r>
        <w:rPr>
          <w:rFonts w:eastAsia="Calibri" w:cs="Calibri"/>
          <w:b/>
          <w:bCs/>
        </w:rPr>
        <w:t xml:space="preserve">NOTA </w:t>
      </w:r>
      <w:r w:rsidR="001D3200">
        <w:rPr>
          <w:rFonts w:eastAsia="Calibri" w:cs="Calibri"/>
          <w:b/>
          <w:bCs/>
        </w:rPr>
        <w:t>1</w:t>
      </w:r>
      <w:r w:rsidR="006E2659">
        <w:rPr>
          <w:rFonts w:eastAsia="Calibri" w:cs="Calibri"/>
          <w:b/>
          <w:bCs/>
        </w:rPr>
        <w:t>1</w:t>
      </w:r>
      <w:r>
        <w:rPr>
          <w:rFonts w:eastAsia="Calibri" w:cs="Calibri"/>
          <w:b/>
          <w:bCs/>
        </w:rPr>
        <w:t xml:space="preserve"> - RESULTADOS ACUMULADOS - Ajustes de Exercícios Anteriores </w:t>
      </w:r>
    </w:p>
    <w:p w14:paraId="48555BE8" w14:textId="77777777" w:rsidR="00F65091" w:rsidRDefault="00716C2D" w:rsidP="00145E5A">
      <w:pPr>
        <w:spacing w:line="276" w:lineRule="auto"/>
        <w:jc w:val="both"/>
        <w:rPr>
          <w:rFonts w:ascii="Calibri" w:eastAsia="Calibri" w:hAnsi="Calibri" w:cs="Calibri"/>
        </w:rPr>
      </w:pPr>
      <w:r>
        <w:rPr>
          <w:rFonts w:eastAsia="Calibri" w:cs="Calibri"/>
        </w:rPr>
        <w:t xml:space="preserve">Essa conta registra o saldo decorrente de efeitos de mudança de critério contábil ou de retificação de erro imputável a determinado exercício anterior, e que não possam ser atribuídos a fatos subsequentes. </w:t>
      </w:r>
    </w:p>
    <w:p w14:paraId="2D1F52BB" w14:textId="70553277" w:rsidR="00F65091" w:rsidRPr="009421FC" w:rsidRDefault="00716C2D" w:rsidP="00145E5A">
      <w:pPr>
        <w:spacing w:line="276" w:lineRule="auto"/>
        <w:jc w:val="both"/>
        <w:rPr>
          <w:rFonts w:eastAsia="Calibri" w:cs="Calibri"/>
        </w:rPr>
      </w:pPr>
      <w:r w:rsidRPr="009421FC">
        <w:rPr>
          <w:rFonts w:eastAsia="Calibri" w:cs="Calibri"/>
          <w:sz w:val="19"/>
          <w:szCs w:val="19"/>
        </w:rPr>
        <w:t>P</w:t>
      </w:r>
      <w:r w:rsidRPr="009421FC">
        <w:rPr>
          <w:rFonts w:eastAsia="Calibri" w:cs="Calibri"/>
        </w:rPr>
        <w:t xml:space="preserve">ara o TRE/ES, a conta Ajuste de Exercícios Anteriores encerrou o exercício de 2022 com saldo devedor de </w:t>
      </w:r>
      <w:r w:rsidR="00B07AC0" w:rsidRPr="009421FC">
        <w:rPr>
          <w:rFonts w:eastAsia="Calibri" w:cs="Calibri"/>
        </w:rPr>
        <w:t>(</w:t>
      </w:r>
      <w:r w:rsidRPr="009421FC">
        <w:rPr>
          <w:rFonts w:eastAsia="Calibri" w:cs="Calibri"/>
        </w:rPr>
        <w:t>R$ 1.130.017,56</w:t>
      </w:r>
      <w:r w:rsidR="006C3524" w:rsidRPr="009421FC">
        <w:rPr>
          <w:rFonts w:eastAsia="Calibri" w:cs="Calibri"/>
        </w:rPr>
        <w:t xml:space="preserve">). </w:t>
      </w:r>
      <w:r w:rsidR="00AF56E2" w:rsidRPr="009421FC">
        <w:rPr>
          <w:rFonts w:eastAsia="Calibri" w:cs="Calibri"/>
        </w:rPr>
        <w:t>A seguir,</w:t>
      </w:r>
      <w:r w:rsidRPr="009421FC">
        <w:rPr>
          <w:rFonts w:eastAsia="Calibri" w:cs="Calibri"/>
        </w:rPr>
        <w:t xml:space="preserve"> estão descritos os principais fatos registrados nessa conta no exercício 2022: </w:t>
      </w:r>
    </w:p>
    <w:p w14:paraId="2ADF73DC" w14:textId="77777777" w:rsidR="00AF56E2" w:rsidRPr="00AF56E2" w:rsidRDefault="00AF56E2" w:rsidP="00AF56E2">
      <w:pPr>
        <w:spacing w:line="276" w:lineRule="auto"/>
        <w:jc w:val="both"/>
        <w:rPr>
          <w:rFonts w:eastAsia="Calibri" w:cs="Calibri"/>
        </w:rPr>
      </w:pPr>
    </w:p>
    <w:p w14:paraId="17CAC451" w14:textId="05A0959E" w:rsidR="00145E5A" w:rsidRDefault="00AF56E2" w:rsidP="009421FC">
      <w:pPr>
        <w:pStyle w:val="PargrafodaLista"/>
        <w:numPr>
          <w:ilvl w:val="0"/>
          <w:numId w:val="7"/>
        </w:numPr>
        <w:spacing w:line="276" w:lineRule="auto"/>
        <w:jc w:val="both"/>
        <w:rPr>
          <w:rFonts w:eastAsia="Calibri" w:cs="Calibri"/>
        </w:rPr>
      </w:pPr>
      <w:r>
        <w:rPr>
          <w:rFonts w:eastAsia="Calibri" w:cs="Calibri"/>
        </w:rPr>
        <w:t>R$ 11.907.680,03</w:t>
      </w:r>
      <w:r w:rsidR="00636862">
        <w:rPr>
          <w:rFonts w:eastAsia="Calibri" w:cs="Calibri"/>
        </w:rPr>
        <w:t>: em 25/01/2022 a Coordena</w:t>
      </w:r>
      <w:r w:rsidR="004F6B02">
        <w:rPr>
          <w:rFonts w:eastAsia="Calibri" w:cs="Calibri"/>
        </w:rPr>
        <w:t>ção Geral</w:t>
      </w:r>
      <w:r w:rsidR="00636862">
        <w:rPr>
          <w:rFonts w:eastAsia="Calibri" w:cs="Calibri"/>
        </w:rPr>
        <w:t xml:space="preserve"> de Contabilidade (CCONT), efetuou</w:t>
      </w:r>
      <w:r w:rsidR="0006057E">
        <w:rPr>
          <w:rFonts w:eastAsia="Calibri" w:cs="Calibri"/>
        </w:rPr>
        <w:t xml:space="preserve"> esse</w:t>
      </w:r>
      <w:r w:rsidR="00636862">
        <w:rPr>
          <w:rFonts w:eastAsia="Calibri" w:cs="Calibri"/>
        </w:rPr>
        <w:t xml:space="preserve"> lançamento </w:t>
      </w:r>
      <w:r w:rsidR="0006057E">
        <w:rPr>
          <w:rFonts w:eastAsia="Calibri" w:cs="Calibri"/>
        </w:rPr>
        <w:t xml:space="preserve">referente a reclassificação dos saldos da conta 23711.03.00 (Ajustes </w:t>
      </w:r>
      <w:proofErr w:type="spellStart"/>
      <w:r w:rsidR="0006057E">
        <w:rPr>
          <w:rFonts w:eastAsia="Calibri" w:cs="Calibri"/>
        </w:rPr>
        <w:t>Exerc</w:t>
      </w:r>
      <w:proofErr w:type="spellEnd"/>
      <w:r w:rsidR="0006057E">
        <w:rPr>
          <w:rFonts w:eastAsia="Calibri" w:cs="Calibri"/>
        </w:rPr>
        <w:t>. Anteriores) para conta 23711.02.00 (Superávits ou Déficits Financeiros</w:t>
      </w:r>
      <w:r w:rsidR="003F575B">
        <w:rPr>
          <w:rFonts w:eastAsia="Calibri" w:cs="Calibri"/>
        </w:rPr>
        <w:t>)</w:t>
      </w:r>
      <w:r w:rsidR="00351D66">
        <w:rPr>
          <w:rFonts w:eastAsia="Calibri" w:cs="Calibri"/>
        </w:rPr>
        <w:t>;</w:t>
      </w:r>
    </w:p>
    <w:p w14:paraId="03A9AD33" w14:textId="3A010854" w:rsidR="00351D66" w:rsidRDefault="0053369A" w:rsidP="009421FC">
      <w:pPr>
        <w:pStyle w:val="PargrafodaLista"/>
        <w:numPr>
          <w:ilvl w:val="0"/>
          <w:numId w:val="7"/>
        </w:numPr>
        <w:spacing w:line="276" w:lineRule="auto"/>
        <w:jc w:val="both"/>
        <w:rPr>
          <w:rFonts w:eastAsia="Calibri" w:cs="Calibri"/>
        </w:rPr>
      </w:pPr>
      <w:r>
        <w:rPr>
          <w:rFonts w:eastAsia="Calibri" w:cs="Calibri"/>
        </w:rPr>
        <w:lastRenderedPageBreak/>
        <w:t xml:space="preserve">R$ 1.083.633,40: </w:t>
      </w:r>
      <w:r w:rsidR="00E16D25">
        <w:rPr>
          <w:rFonts w:eastAsia="Calibri" w:cs="Calibri"/>
        </w:rPr>
        <w:t xml:space="preserve">em 30/06/2022, </w:t>
      </w:r>
      <w:r w:rsidR="004F6B02">
        <w:rPr>
          <w:rFonts w:eastAsia="Calibri" w:cs="Calibri"/>
        </w:rPr>
        <w:t>a CCONT</w:t>
      </w:r>
      <w:r w:rsidR="00841155">
        <w:rPr>
          <w:rFonts w:eastAsia="Calibri" w:cs="Calibri"/>
        </w:rPr>
        <w:t xml:space="preserve"> efetuou ajuste na depreciação acumulada</w:t>
      </w:r>
      <w:r w:rsidR="003F575B">
        <w:rPr>
          <w:rFonts w:eastAsia="Calibri" w:cs="Calibri"/>
        </w:rPr>
        <w:t xml:space="preserve"> de junho/2022 dos bens imóveis cadastrados no SPIUNET, conforme conciliação entre planilha encaminhada pela SPU e SIAFI;</w:t>
      </w:r>
      <w:r w:rsidR="001D7207">
        <w:rPr>
          <w:rFonts w:eastAsia="Calibri" w:cs="Calibri"/>
        </w:rPr>
        <w:br/>
      </w:r>
    </w:p>
    <w:p w14:paraId="3B350541" w14:textId="1D38E2D1" w:rsidR="00C075E8" w:rsidRDefault="008E7D35" w:rsidP="009421FC">
      <w:pPr>
        <w:pStyle w:val="PargrafodaLista"/>
        <w:numPr>
          <w:ilvl w:val="0"/>
          <w:numId w:val="7"/>
        </w:numPr>
        <w:spacing w:line="276" w:lineRule="auto"/>
        <w:jc w:val="both"/>
        <w:rPr>
          <w:rFonts w:eastAsia="Calibri" w:cs="Calibri"/>
        </w:rPr>
      </w:pPr>
      <w:r>
        <w:rPr>
          <w:rFonts w:eastAsia="Calibri" w:cs="Calibri"/>
        </w:rPr>
        <w:t>R$ 1.680.632,66</w:t>
      </w:r>
      <w:r w:rsidR="003948AF">
        <w:rPr>
          <w:rFonts w:eastAsia="Calibri" w:cs="Calibri"/>
        </w:rPr>
        <w:t xml:space="preserve"> e R$ 454.399,24</w:t>
      </w:r>
      <w:r>
        <w:rPr>
          <w:rFonts w:eastAsia="Calibri" w:cs="Calibri"/>
        </w:rPr>
        <w:t xml:space="preserve">: </w:t>
      </w:r>
      <w:r w:rsidR="00E16D25">
        <w:rPr>
          <w:rFonts w:eastAsia="Calibri" w:cs="Calibri"/>
        </w:rPr>
        <w:t xml:space="preserve">em 29/11/2022, o TRE/ES procedeu </w:t>
      </w:r>
      <w:r w:rsidR="00E55C35">
        <w:rPr>
          <w:rFonts w:eastAsia="Calibri" w:cs="Calibri"/>
        </w:rPr>
        <w:t>a</w:t>
      </w:r>
      <w:r w:rsidR="00714744">
        <w:rPr>
          <w:rFonts w:eastAsia="Calibri" w:cs="Calibri"/>
        </w:rPr>
        <w:t>s</w:t>
      </w:r>
      <w:r w:rsidR="00E55C35">
        <w:rPr>
          <w:rFonts w:eastAsia="Calibri" w:cs="Calibri"/>
        </w:rPr>
        <w:t xml:space="preserve"> transferência</w:t>
      </w:r>
      <w:r w:rsidR="00714744">
        <w:rPr>
          <w:rFonts w:eastAsia="Calibri" w:cs="Calibri"/>
        </w:rPr>
        <w:t>s</w:t>
      </w:r>
      <w:r w:rsidR="00E55C35">
        <w:rPr>
          <w:rFonts w:eastAsia="Calibri" w:cs="Calibri"/>
        </w:rPr>
        <w:t xml:space="preserve"> de depreciação acumulada das urnas eletrônicas modelos 2013 e 205</w:t>
      </w:r>
      <w:r w:rsidR="00C075E8">
        <w:rPr>
          <w:rFonts w:eastAsia="Calibri" w:cs="Calibri"/>
        </w:rPr>
        <w:t xml:space="preserve"> para exercício anterior, após ajustes e valores, conforme documento SIAFI nº 2022NS008179</w:t>
      </w:r>
      <w:r w:rsidR="001837B1">
        <w:rPr>
          <w:rFonts w:eastAsia="Calibri" w:cs="Calibri"/>
        </w:rPr>
        <w:t xml:space="preserve"> (</w:t>
      </w:r>
      <w:proofErr w:type="spellStart"/>
      <w:r w:rsidR="001837B1">
        <w:rPr>
          <w:rFonts w:eastAsia="Calibri" w:cs="Calibri"/>
        </w:rPr>
        <w:t>proc</w:t>
      </w:r>
      <w:proofErr w:type="spellEnd"/>
      <w:r w:rsidR="001837B1">
        <w:rPr>
          <w:rFonts w:eastAsia="Calibri" w:cs="Calibri"/>
        </w:rPr>
        <w:t xml:space="preserve"> SEI nº 7971-95.2022)</w:t>
      </w:r>
      <w:r w:rsidR="00714744">
        <w:rPr>
          <w:rFonts w:eastAsia="Calibri" w:cs="Calibri"/>
        </w:rPr>
        <w:t>.</w:t>
      </w:r>
    </w:p>
    <w:p w14:paraId="4250DE97" w14:textId="77777777" w:rsidR="0065486A" w:rsidRPr="00714744" w:rsidRDefault="0065486A" w:rsidP="0065486A">
      <w:pPr>
        <w:pStyle w:val="PargrafodaLista"/>
        <w:spacing w:line="276" w:lineRule="auto"/>
        <w:jc w:val="both"/>
        <w:rPr>
          <w:rFonts w:eastAsia="Calibri" w:cs="Calibri"/>
        </w:rPr>
      </w:pPr>
    </w:p>
    <w:p w14:paraId="42F68E3C" w14:textId="6438D8E8" w:rsidR="00F65091" w:rsidRDefault="00492BDB">
      <w:pPr>
        <w:jc w:val="both"/>
      </w:pPr>
      <w:r>
        <w:rPr>
          <w:rFonts w:eastAsia="Calibri" w:cs="Calibri"/>
          <w:b/>
          <w:bCs/>
        </w:rPr>
        <w:t>2</w:t>
      </w:r>
      <w:r w:rsidR="00716C2D">
        <w:rPr>
          <w:rFonts w:eastAsia="Calibri" w:cs="Calibri"/>
          <w:b/>
          <w:bCs/>
        </w:rPr>
        <w:t>.2</w:t>
      </w:r>
      <w:r w:rsidR="00716C2D">
        <w:rPr>
          <w:rFonts w:eastAsia="Calibri" w:cs="Calibri"/>
          <w:b/>
          <w:bCs/>
        </w:rPr>
        <w:tab/>
        <w:t>DEMONSTRAÇÃO DAS VARIAÇÕES PATRIMONIAIS</w:t>
      </w:r>
    </w:p>
    <w:p w14:paraId="07BB6566" w14:textId="6CACD50D" w:rsidR="00F65091" w:rsidRDefault="006E594A">
      <w:pPr>
        <w:jc w:val="both"/>
      </w:pPr>
      <w:r>
        <w:rPr>
          <w:rFonts w:eastAsia="Calibri" w:cs="Calibri"/>
        </w:rPr>
        <w:br/>
      </w:r>
      <w:r w:rsidR="00716C2D">
        <w:rPr>
          <w:rFonts w:eastAsia="Calibri" w:cs="Calibri"/>
        </w:rPr>
        <w:t xml:space="preserve">A Demonstração das Variações Patrimoniais, exigida pela Lei nº 4.320/64, tem o objetivo de evidenciar as alterações verificadas no patrimônio, resultantes ou independentes da execução orçamentária, e indicará o resultado patrimonial do exercício. </w:t>
      </w:r>
    </w:p>
    <w:p w14:paraId="3B2DA61D" w14:textId="77777777" w:rsidR="00F65091" w:rsidRDefault="00716C2D">
      <w:pPr>
        <w:jc w:val="both"/>
      </w:pPr>
      <w:r>
        <w:rPr>
          <w:rFonts w:eastAsia="Calibri" w:cs="Calibri"/>
        </w:rPr>
        <w:t>Essas alterações são reconhecidas pelo regime de competência, sendo que serão aumentativas, quando for provável que os benefícios econômicos ou potencial de serviços fruirão para a entidade, ou diminutivas, quando for provável que ocorrerão decréscimos nos benefícios econômicos ou potenciais de serviços da entidade.</w:t>
      </w:r>
    </w:p>
    <w:p w14:paraId="614A78E1" w14:textId="607AABF0" w:rsidR="00F65091" w:rsidRDefault="00716C2D" w:rsidP="00145E5A">
      <w:pPr>
        <w:spacing w:line="276" w:lineRule="auto"/>
      </w:pPr>
      <w:r>
        <w:rPr>
          <w:rFonts w:eastAsia="Calibri" w:cs="Calibri"/>
          <w:b/>
          <w:bCs/>
        </w:rPr>
        <w:br/>
      </w:r>
      <w:r w:rsidR="00492BDB">
        <w:rPr>
          <w:rFonts w:eastAsia="Calibri" w:cs="Calibri"/>
          <w:b/>
          <w:bCs/>
        </w:rPr>
        <w:t>2</w:t>
      </w:r>
      <w:r w:rsidR="00B40354">
        <w:rPr>
          <w:rFonts w:eastAsia="Calibri" w:cs="Calibri"/>
          <w:b/>
          <w:bCs/>
        </w:rPr>
        <w:t xml:space="preserve">.2.1 </w:t>
      </w:r>
      <w:r>
        <w:rPr>
          <w:rFonts w:eastAsia="Calibri" w:cs="Calibri"/>
          <w:b/>
          <w:bCs/>
        </w:rPr>
        <w:t>VARIAÇÃO PATRIMONIAL AUMENTATIVA - VPA</w:t>
      </w:r>
      <w:r>
        <w:rPr>
          <w:rFonts w:eastAsia="Calibri" w:cs="Calibri"/>
          <w:b/>
          <w:bCs/>
        </w:rPr>
        <w:br/>
      </w:r>
      <w:r>
        <w:rPr>
          <w:rFonts w:eastAsia="Calibri" w:cs="Calibri"/>
          <w:b/>
          <w:bCs/>
        </w:rPr>
        <w:br/>
        <w:t>NOTA 1</w:t>
      </w:r>
      <w:r w:rsidR="00B40354">
        <w:rPr>
          <w:rFonts w:eastAsia="Calibri" w:cs="Calibri"/>
          <w:b/>
          <w:bCs/>
        </w:rPr>
        <w:t>2</w:t>
      </w:r>
      <w:r>
        <w:rPr>
          <w:rFonts w:eastAsia="Calibri" w:cs="Calibri"/>
          <w:b/>
          <w:bCs/>
        </w:rPr>
        <w:t xml:space="preserve"> – Transferências Intragovernamentais</w:t>
      </w:r>
    </w:p>
    <w:p w14:paraId="010C417C" w14:textId="77777777" w:rsidR="00F65091" w:rsidRDefault="00716C2D" w:rsidP="00145E5A">
      <w:pPr>
        <w:spacing w:line="276" w:lineRule="auto"/>
        <w:jc w:val="both"/>
        <w:rPr>
          <w:rFonts w:ascii="Calibri" w:eastAsia="Calibri" w:hAnsi="Calibri" w:cs="Calibri"/>
        </w:rPr>
      </w:pPr>
      <w:r>
        <w:rPr>
          <w:rFonts w:eastAsia="Calibri" w:cs="Calibri"/>
        </w:rPr>
        <w:t>Do saldo evidenciado em variações patrimoniais aumentativas, a maior parte do valor é referente às transferências recebidas para execução do orçamento, conforme autorizado na Lei Orçamentária Anual (LOA), e pagamento de Restos a Pagar.</w:t>
      </w:r>
    </w:p>
    <w:p w14:paraId="4E38DB2F" w14:textId="5C2E3D77" w:rsidR="00F65091" w:rsidRDefault="00716C2D" w:rsidP="00145E5A">
      <w:pPr>
        <w:spacing w:line="276" w:lineRule="auto"/>
        <w:jc w:val="both"/>
        <w:rPr>
          <w:rFonts w:ascii="Calibri" w:eastAsia="Calibri" w:hAnsi="Calibri" w:cs="Calibri"/>
        </w:rPr>
      </w:pPr>
      <w:r>
        <w:rPr>
          <w:rFonts w:eastAsia="Calibri" w:cs="Calibri"/>
        </w:rPr>
        <w:t xml:space="preserve">Em 2022, a conta Transferências Intragovernamentais, </w:t>
      </w:r>
      <w:r w:rsidR="004A68B6">
        <w:rPr>
          <w:rFonts w:eastAsia="Calibri" w:cs="Calibri"/>
        </w:rPr>
        <w:t xml:space="preserve">apresentou </w:t>
      </w:r>
      <w:r w:rsidR="005174AB">
        <w:rPr>
          <w:rFonts w:eastAsia="Calibri" w:cs="Calibri"/>
        </w:rPr>
        <w:t>a variação positiva de 67,65%</w:t>
      </w:r>
      <w:r w:rsidR="002D3B6D">
        <w:rPr>
          <w:rFonts w:eastAsia="Calibri" w:cs="Calibri"/>
        </w:rPr>
        <w:t xml:space="preserve"> em relação ao exercício de 2021</w:t>
      </w:r>
      <w:r>
        <w:rPr>
          <w:rFonts w:eastAsia="Calibri" w:cs="Calibri"/>
        </w:rPr>
        <w:t>.</w:t>
      </w:r>
      <w:r w:rsidR="00904441">
        <w:rPr>
          <w:rFonts w:eastAsia="Calibri" w:cs="Calibri"/>
        </w:rPr>
        <w:t xml:space="preserve"> Essa</w:t>
      </w:r>
      <w:r w:rsidR="00EA0CA5">
        <w:rPr>
          <w:rFonts w:eastAsia="Calibri" w:cs="Calibri"/>
        </w:rPr>
        <w:t xml:space="preserve"> variação</w:t>
      </w:r>
      <w:r w:rsidR="00FD6ACA">
        <w:rPr>
          <w:rFonts w:eastAsia="Calibri" w:cs="Calibri"/>
        </w:rPr>
        <w:t xml:space="preserve"> se</w:t>
      </w:r>
      <w:r w:rsidR="00727DD8">
        <w:rPr>
          <w:rFonts w:eastAsia="Calibri" w:cs="Calibri"/>
        </w:rPr>
        <w:t xml:space="preserve"> deve, principalmente, </w:t>
      </w:r>
      <w:r w:rsidR="00420D6D">
        <w:rPr>
          <w:rFonts w:eastAsia="Calibri" w:cs="Calibri"/>
        </w:rPr>
        <w:t xml:space="preserve">aos valores recebidos relacionados </w:t>
      </w:r>
      <w:r w:rsidR="00FD6ACA">
        <w:rPr>
          <w:rFonts w:eastAsia="Calibri" w:cs="Calibri"/>
        </w:rPr>
        <w:t>aos Pleitos Eleitorais</w:t>
      </w:r>
      <w:r w:rsidR="00A019ED">
        <w:rPr>
          <w:rFonts w:eastAsia="Calibri" w:cs="Calibri"/>
        </w:rPr>
        <w:t>.</w:t>
      </w:r>
    </w:p>
    <w:p w14:paraId="3A41CB72" w14:textId="62154D05" w:rsidR="00F65091" w:rsidRDefault="002A4BEC" w:rsidP="00145E5A">
      <w:pPr>
        <w:spacing w:line="276" w:lineRule="auto"/>
      </w:pPr>
      <w:r>
        <w:rPr>
          <w:rFonts w:eastAsia="Calibri" w:cs="Calibri"/>
          <w:b/>
          <w:bCs/>
        </w:rPr>
        <w:br/>
      </w:r>
      <w:r w:rsidR="00716C2D">
        <w:rPr>
          <w:rFonts w:eastAsia="Calibri" w:cs="Calibri"/>
          <w:b/>
          <w:bCs/>
        </w:rPr>
        <w:t>NOTA 1</w:t>
      </w:r>
      <w:r w:rsidR="00B40354">
        <w:rPr>
          <w:rFonts w:eastAsia="Calibri" w:cs="Calibri"/>
          <w:b/>
          <w:bCs/>
        </w:rPr>
        <w:t>3</w:t>
      </w:r>
      <w:r w:rsidR="00716C2D">
        <w:rPr>
          <w:rFonts w:eastAsia="Calibri" w:cs="Calibri"/>
          <w:b/>
          <w:bCs/>
        </w:rPr>
        <w:t xml:space="preserve"> – OUTRAS TRANSFERÊNCIAS E DELEGAÇÕES RECEBIDAS</w:t>
      </w:r>
    </w:p>
    <w:p w14:paraId="0926B800" w14:textId="77777777" w:rsidR="00F65091" w:rsidRDefault="00716C2D" w:rsidP="00145E5A">
      <w:pPr>
        <w:spacing w:line="276" w:lineRule="auto"/>
        <w:jc w:val="both"/>
        <w:rPr>
          <w:rFonts w:eastAsia="Calibri" w:cs="Calibri"/>
        </w:rPr>
      </w:pPr>
      <w:r>
        <w:rPr>
          <w:rFonts w:eastAsia="Calibri" w:cs="Calibri"/>
        </w:rPr>
        <w:t xml:space="preserve">Registram-se nesta conta as </w:t>
      </w:r>
      <w:proofErr w:type="spellStart"/>
      <w:r>
        <w:rPr>
          <w:rFonts w:eastAsia="Calibri" w:cs="Calibri"/>
        </w:rPr>
        <w:t>VPD’s</w:t>
      </w:r>
      <w:proofErr w:type="spellEnd"/>
      <w:r>
        <w:rPr>
          <w:rFonts w:eastAsia="Calibri" w:cs="Calibri"/>
        </w:rPr>
        <w:t xml:space="preserve"> decorrentes de demais transferências e delegações recebidas, compreendendo os saldos que não serão excluídos nos demonstrativos do Orçamento Fiscal e da Seguridade Social (OFSS), bem como outras doações e recebimentos de bens diversos, além da transferência de imóveis de uso especial entre a Secretaria de Patrimônio da União (SPU) e os Tribunais Regionais Eleitorais.</w:t>
      </w:r>
    </w:p>
    <w:p w14:paraId="7E2686EE" w14:textId="115D7D9C" w:rsidR="00F57291" w:rsidRDefault="008269B5" w:rsidP="00145E5A">
      <w:pPr>
        <w:spacing w:line="276" w:lineRule="auto"/>
        <w:jc w:val="both"/>
      </w:pPr>
      <w:r>
        <w:rPr>
          <w:rFonts w:eastAsia="Calibri" w:cs="Calibri"/>
        </w:rPr>
        <w:t>D</w:t>
      </w:r>
      <w:r w:rsidR="00F2795F">
        <w:rPr>
          <w:rFonts w:eastAsia="Calibri" w:cs="Calibri"/>
        </w:rPr>
        <w:t>os registros efetuados em 2022</w:t>
      </w:r>
      <w:r w:rsidR="004706B8">
        <w:rPr>
          <w:rFonts w:eastAsia="Calibri" w:cs="Calibri"/>
        </w:rPr>
        <w:t>,</w:t>
      </w:r>
      <w:r w:rsidR="0009473B">
        <w:rPr>
          <w:rFonts w:eastAsia="Calibri" w:cs="Calibri"/>
        </w:rPr>
        <w:t xml:space="preserve"> </w:t>
      </w:r>
      <w:r w:rsidR="00F2795F">
        <w:rPr>
          <w:rFonts w:eastAsia="Calibri" w:cs="Calibri"/>
        </w:rPr>
        <w:t>a</w:t>
      </w:r>
      <w:r w:rsidR="00DE3B9C">
        <w:rPr>
          <w:rFonts w:eastAsia="Calibri" w:cs="Calibri"/>
        </w:rPr>
        <w:t xml:space="preserve"> </w:t>
      </w:r>
      <w:r w:rsidR="00F2795F">
        <w:rPr>
          <w:rFonts w:eastAsia="Calibri" w:cs="Calibri"/>
        </w:rPr>
        <w:t>lançamento mais expressivo refere-se</w:t>
      </w:r>
      <w:r w:rsidR="006A5CC2">
        <w:rPr>
          <w:rFonts w:eastAsia="Calibri" w:cs="Calibri"/>
        </w:rPr>
        <w:t xml:space="preserve"> </w:t>
      </w:r>
      <w:r w:rsidR="000950BD">
        <w:rPr>
          <w:rFonts w:eastAsia="Calibri" w:cs="Calibri"/>
        </w:rPr>
        <w:t>a</w:t>
      </w:r>
      <w:r w:rsidR="00DE3B9C">
        <w:rPr>
          <w:rFonts w:eastAsia="Calibri" w:cs="Calibri"/>
        </w:rPr>
        <w:t>o recebimento de 1.600 unidades de urnas eletrônicas modelo 2010</w:t>
      </w:r>
      <w:r w:rsidR="008D3E83">
        <w:rPr>
          <w:rFonts w:eastAsia="Calibri" w:cs="Calibri"/>
        </w:rPr>
        <w:t>, do TRE/MG (proc. SEI nº 6731-08.2021)</w:t>
      </w:r>
      <w:r w:rsidR="00F2795F">
        <w:rPr>
          <w:rFonts w:eastAsia="Calibri" w:cs="Calibri"/>
        </w:rPr>
        <w:t>, no valor de R$ 194.336,00, em 11/03/2022</w:t>
      </w:r>
      <w:r w:rsidR="008D3E83">
        <w:rPr>
          <w:rFonts w:eastAsia="Calibri" w:cs="Calibri"/>
        </w:rPr>
        <w:t>.</w:t>
      </w:r>
      <w:r w:rsidR="00DE3B9C">
        <w:rPr>
          <w:rFonts w:eastAsia="Calibri" w:cs="Calibri"/>
        </w:rPr>
        <w:t xml:space="preserve"> </w:t>
      </w:r>
    </w:p>
    <w:p w14:paraId="091B8847" w14:textId="77777777" w:rsidR="00F2795F" w:rsidRDefault="00F2795F" w:rsidP="00145E5A">
      <w:pPr>
        <w:spacing w:line="276" w:lineRule="auto"/>
        <w:rPr>
          <w:rFonts w:eastAsia="Calibri" w:cs="Calibri"/>
          <w:b/>
          <w:bCs/>
        </w:rPr>
      </w:pPr>
    </w:p>
    <w:p w14:paraId="5CD1ECE8" w14:textId="30FD8672" w:rsidR="00F65091" w:rsidRDefault="00716C2D" w:rsidP="00145E5A">
      <w:pPr>
        <w:spacing w:line="276" w:lineRule="auto"/>
        <w:rPr>
          <w:rFonts w:ascii="Calibri" w:eastAsia="Calibri" w:hAnsi="Calibri" w:cs="Calibri"/>
        </w:rPr>
      </w:pPr>
      <w:r>
        <w:rPr>
          <w:rFonts w:eastAsia="Calibri" w:cs="Calibri"/>
          <w:b/>
          <w:bCs/>
        </w:rPr>
        <w:t>NOTA 1</w:t>
      </w:r>
      <w:r w:rsidR="00B40354">
        <w:rPr>
          <w:rFonts w:eastAsia="Calibri" w:cs="Calibri"/>
          <w:b/>
          <w:bCs/>
        </w:rPr>
        <w:t>4</w:t>
      </w:r>
      <w:r>
        <w:rPr>
          <w:rFonts w:eastAsia="Calibri" w:cs="Calibri"/>
          <w:b/>
          <w:bCs/>
        </w:rPr>
        <w:t xml:space="preserve"> – VALORIZAÇÃO E GANHOS C/ATIVOS E DESINCORPORAÇÃO DE PASSIVOS</w:t>
      </w:r>
    </w:p>
    <w:p w14:paraId="7C7A6E7F" w14:textId="38FDAE6E" w:rsidR="00F65091" w:rsidRDefault="00716C2D" w:rsidP="00145E5A">
      <w:pPr>
        <w:spacing w:line="276" w:lineRule="auto"/>
        <w:jc w:val="both"/>
        <w:rPr>
          <w:rFonts w:eastAsia="Calibri" w:cs="Calibri"/>
        </w:rPr>
      </w:pPr>
      <w:r>
        <w:rPr>
          <w:rFonts w:eastAsia="Calibri" w:cs="Calibri"/>
        </w:rPr>
        <w:t xml:space="preserve">Essa conta representa o somatório da variação patrimonial </w:t>
      </w:r>
      <w:r w:rsidR="006B77DC">
        <w:rPr>
          <w:rFonts w:eastAsia="Calibri" w:cs="Calibri"/>
        </w:rPr>
        <w:t xml:space="preserve">aumentativa </w:t>
      </w:r>
      <w:r>
        <w:rPr>
          <w:rFonts w:eastAsia="Calibri" w:cs="Calibri"/>
        </w:rPr>
        <w:t>com reavaliação e ganhos na valorização e incorporação de ativos</w:t>
      </w:r>
      <w:r w:rsidR="006B77DC">
        <w:rPr>
          <w:rFonts w:eastAsia="Calibri" w:cs="Calibri"/>
        </w:rPr>
        <w:t xml:space="preserve"> e desincorporação de passíveis exigíveis</w:t>
      </w:r>
      <w:r>
        <w:rPr>
          <w:rFonts w:eastAsia="Calibri" w:cs="Calibri"/>
        </w:rPr>
        <w:t>. São exemplos: reavaliação de imobilizado, reavaliação de intangíveis, ganhos com alienação de investimentos, ganhos com alienação de imobilizado, ganhos com incorporação de ativos por descobertas</w:t>
      </w:r>
      <w:r w:rsidR="000E5EE1">
        <w:rPr>
          <w:rFonts w:eastAsia="Calibri" w:cs="Calibri"/>
        </w:rPr>
        <w:t xml:space="preserve">, </w:t>
      </w:r>
      <w:r w:rsidR="0091372B">
        <w:rPr>
          <w:rFonts w:eastAsia="Calibri" w:cs="Calibri"/>
        </w:rPr>
        <w:t xml:space="preserve">correção de erros com a </w:t>
      </w:r>
      <w:r w:rsidR="000E5EE1">
        <w:rPr>
          <w:rFonts w:eastAsia="Calibri" w:cs="Calibri"/>
        </w:rPr>
        <w:t>desincorporação de passivo registrado</w:t>
      </w:r>
      <w:r w:rsidR="0091372B">
        <w:rPr>
          <w:rFonts w:eastAsia="Calibri" w:cs="Calibri"/>
        </w:rPr>
        <w:t>.</w:t>
      </w:r>
    </w:p>
    <w:p w14:paraId="7FEE05C1" w14:textId="77777777" w:rsidR="00F65091" w:rsidRDefault="00716C2D" w:rsidP="00145E5A">
      <w:pPr>
        <w:spacing w:line="276" w:lineRule="auto"/>
        <w:jc w:val="both"/>
        <w:rPr>
          <w:b/>
          <w:bCs/>
        </w:rPr>
      </w:pPr>
      <w:r>
        <w:rPr>
          <w:b/>
          <w:bCs/>
        </w:rPr>
        <w:lastRenderedPageBreak/>
        <w:t>Reavaliação de Ativos</w:t>
      </w:r>
    </w:p>
    <w:p w14:paraId="3C99AD2B" w14:textId="41E9ECBF" w:rsidR="00D91A0E" w:rsidRDefault="003D2F51" w:rsidP="00145E5A">
      <w:pPr>
        <w:spacing w:line="276" w:lineRule="auto"/>
        <w:jc w:val="both"/>
      </w:pPr>
      <w:r>
        <w:t xml:space="preserve">Em relação a conta de “Reavaliação de Ativos”, no exercício de 2022 foram efetuados lançamentos </w:t>
      </w:r>
      <w:r w:rsidR="0038092D">
        <w:t>com reavaliação de bens imóveis, conforme segue abaixo:</w:t>
      </w:r>
    </w:p>
    <w:p w14:paraId="25AA299F" w14:textId="54A942C6" w:rsidR="00C57F96" w:rsidRDefault="00C57F96" w:rsidP="00C57F96">
      <w:pPr>
        <w:pStyle w:val="PargrafodaLista"/>
        <w:numPr>
          <w:ilvl w:val="0"/>
          <w:numId w:val="8"/>
        </w:numPr>
        <w:spacing w:line="276" w:lineRule="auto"/>
        <w:jc w:val="both"/>
      </w:pPr>
      <w:r>
        <w:t xml:space="preserve">R$ 23.755,61, </w:t>
      </w:r>
      <w:r w:rsidR="00791FC7">
        <w:t xml:space="preserve">em 22/11/2022, </w:t>
      </w:r>
      <w:r w:rsidR="00015851">
        <w:t xml:space="preserve">reavaliação do imóvel </w:t>
      </w:r>
      <w:r w:rsidR="00676A75">
        <w:t xml:space="preserve">do Cartório Eleitoral de Guarapari, </w:t>
      </w:r>
      <w:r w:rsidR="00791FC7">
        <w:t>conforme documento SIAFI nº 2022NL800002;</w:t>
      </w:r>
      <w:r w:rsidR="003A0C8E">
        <w:tab/>
      </w:r>
      <w:r w:rsidR="001D7207">
        <w:br/>
      </w:r>
    </w:p>
    <w:p w14:paraId="2AF9CD1D" w14:textId="77465020" w:rsidR="0038092D" w:rsidRDefault="0038092D" w:rsidP="0038092D">
      <w:pPr>
        <w:pStyle w:val="PargrafodaLista"/>
        <w:numPr>
          <w:ilvl w:val="0"/>
          <w:numId w:val="8"/>
        </w:numPr>
        <w:spacing w:line="276" w:lineRule="auto"/>
        <w:jc w:val="both"/>
      </w:pPr>
      <w:r>
        <w:t>R$ 96.000,40</w:t>
      </w:r>
      <w:r w:rsidR="00F50182">
        <w:t xml:space="preserve">, em </w:t>
      </w:r>
      <w:r w:rsidR="00A93A2C">
        <w:t xml:space="preserve">05/12/2022, </w:t>
      </w:r>
      <w:r w:rsidR="00676A75">
        <w:t xml:space="preserve">reavaliação do imóvel do Cartório Eleitoral de Viana, </w:t>
      </w:r>
      <w:r w:rsidR="00A93A2C">
        <w:t>conforme documento SIAFI nº 2022NL800003</w:t>
      </w:r>
      <w:r w:rsidR="00791FC7">
        <w:t>.</w:t>
      </w:r>
      <w:r w:rsidR="009F4006">
        <w:tab/>
      </w:r>
    </w:p>
    <w:p w14:paraId="77461CA6" w14:textId="0D2A61FC" w:rsidR="006558DE" w:rsidRPr="005210F1" w:rsidRDefault="00676A75" w:rsidP="00BC1DAF">
      <w:pPr>
        <w:spacing w:line="276" w:lineRule="auto"/>
        <w:jc w:val="both"/>
        <w:rPr>
          <w:rFonts w:eastAsia="Calibri" w:cs="Calibri"/>
          <w:b/>
          <w:bCs/>
        </w:rPr>
      </w:pPr>
      <w:r>
        <w:rPr>
          <w:rFonts w:eastAsia="Calibri" w:cs="Calibri"/>
          <w:b/>
          <w:bCs/>
        </w:rPr>
        <w:br/>
      </w:r>
      <w:r w:rsidR="005210F1">
        <w:rPr>
          <w:rFonts w:eastAsia="Calibri" w:cs="Calibri"/>
          <w:b/>
          <w:bCs/>
        </w:rPr>
        <w:t>Ganhos com Incorporação de Ativos</w:t>
      </w:r>
    </w:p>
    <w:p w14:paraId="5E84E0FC" w14:textId="103011C6" w:rsidR="005210F1" w:rsidRPr="00240BF1" w:rsidRDefault="006C7B86" w:rsidP="00584E3B">
      <w:pPr>
        <w:spacing w:line="276" w:lineRule="auto"/>
        <w:jc w:val="both"/>
        <w:rPr>
          <w:rFonts w:eastAsia="Calibri" w:cs="Calibri"/>
        </w:rPr>
      </w:pPr>
      <w:r>
        <w:rPr>
          <w:rFonts w:eastAsia="Calibri" w:cs="Calibri"/>
        </w:rPr>
        <w:t xml:space="preserve">O TRE/ES encerrou o exercício de </w:t>
      </w:r>
      <w:r w:rsidR="001C7852">
        <w:rPr>
          <w:rFonts w:eastAsia="Calibri" w:cs="Calibri"/>
        </w:rPr>
        <w:t>2022</w:t>
      </w:r>
      <w:r>
        <w:rPr>
          <w:rFonts w:eastAsia="Calibri" w:cs="Calibri"/>
        </w:rPr>
        <w:t xml:space="preserve"> com</w:t>
      </w:r>
      <w:r w:rsidR="00946E8A">
        <w:rPr>
          <w:rFonts w:eastAsia="Calibri" w:cs="Calibri"/>
        </w:rPr>
        <w:t xml:space="preserve"> ganhos com incorporação de Ativos </w:t>
      </w:r>
      <w:r>
        <w:rPr>
          <w:rFonts w:eastAsia="Calibri" w:cs="Calibri"/>
        </w:rPr>
        <w:t>no total de</w:t>
      </w:r>
      <w:r w:rsidR="00946E8A">
        <w:rPr>
          <w:rFonts w:eastAsia="Calibri" w:cs="Calibri"/>
        </w:rPr>
        <w:t xml:space="preserve"> R$ 13.155.304,50</w:t>
      </w:r>
      <w:r>
        <w:rPr>
          <w:rFonts w:eastAsia="Calibri" w:cs="Calibri"/>
        </w:rPr>
        <w:t>,</w:t>
      </w:r>
      <w:r w:rsidR="001C7852">
        <w:rPr>
          <w:rFonts w:eastAsia="Calibri" w:cs="Calibri"/>
        </w:rPr>
        <w:t xml:space="preserve"> </w:t>
      </w:r>
      <w:r>
        <w:rPr>
          <w:rFonts w:eastAsia="Calibri" w:cs="Calibri"/>
        </w:rPr>
        <w:t>apresentando</w:t>
      </w:r>
      <w:r w:rsidR="001C7852">
        <w:rPr>
          <w:rFonts w:eastAsia="Calibri" w:cs="Calibri"/>
        </w:rPr>
        <w:t xml:space="preserve"> variação positiva de </w:t>
      </w:r>
      <w:r w:rsidR="0063522B">
        <w:rPr>
          <w:rFonts w:eastAsia="Calibri" w:cs="Calibri"/>
        </w:rPr>
        <w:t>267,05%</w:t>
      </w:r>
      <w:r w:rsidR="004239C3">
        <w:rPr>
          <w:rFonts w:eastAsia="Calibri" w:cs="Calibri"/>
        </w:rPr>
        <w:t xml:space="preserve"> em relação ao exercício de 2021.</w:t>
      </w:r>
      <w:r w:rsidR="003A1642">
        <w:rPr>
          <w:rFonts w:eastAsia="Calibri" w:cs="Calibri"/>
        </w:rPr>
        <w:t xml:space="preserve"> Esse montante</w:t>
      </w:r>
      <w:r w:rsidR="000216EE">
        <w:rPr>
          <w:rFonts w:eastAsia="Calibri" w:cs="Calibri"/>
        </w:rPr>
        <w:t xml:space="preserve">, em sua maioria, é referente ao recebimento </w:t>
      </w:r>
      <w:r w:rsidR="00A66DD7">
        <w:rPr>
          <w:rFonts w:eastAsia="Calibri" w:cs="Calibri"/>
        </w:rPr>
        <w:t xml:space="preserve">de </w:t>
      </w:r>
      <w:r>
        <w:rPr>
          <w:rFonts w:eastAsia="Calibri" w:cs="Calibri"/>
        </w:rPr>
        <w:t>u</w:t>
      </w:r>
      <w:r w:rsidR="00A66DD7">
        <w:rPr>
          <w:rFonts w:eastAsia="Calibri" w:cs="Calibri"/>
        </w:rPr>
        <w:t xml:space="preserve">rnas </w:t>
      </w:r>
      <w:r>
        <w:rPr>
          <w:rFonts w:eastAsia="Calibri" w:cs="Calibri"/>
        </w:rPr>
        <w:t>e</w:t>
      </w:r>
      <w:r w:rsidR="00A66DD7">
        <w:rPr>
          <w:rFonts w:eastAsia="Calibri" w:cs="Calibri"/>
        </w:rPr>
        <w:t>letrônicas</w:t>
      </w:r>
      <w:r>
        <w:rPr>
          <w:rFonts w:eastAsia="Calibri" w:cs="Calibri"/>
        </w:rPr>
        <w:t>,</w:t>
      </w:r>
      <w:r w:rsidR="009C280F">
        <w:rPr>
          <w:rFonts w:eastAsia="Calibri" w:cs="Calibri"/>
        </w:rPr>
        <w:t xml:space="preserve"> mídias eletrônica</w:t>
      </w:r>
      <w:r>
        <w:rPr>
          <w:rFonts w:eastAsia="Calibri" w:cs="Calibri"/>
        </w:rPr>
        <w:t>s</w:t>
      </w:r>
      <w:r w:rsidR="008B0A4E">
        <w:rPr>
          <w:rFonts w:eastAsia="Calibri" w:cs="Calibri"/>
        </w:rPr>
        <w:t>,</w:t>
      </w:r>
      <w:r w:rsidR="009C280F">
        <w:rPr>
          <w:rFonts w:eastAsia="Calibri" w:cs="Calibri"/>
        </w:rPr>
        <w:t xml:space="preserve"> lacres adesivos para urnas e envelopes de segurança</w:t>
      </w:r>
      <w:r w:rsidR="00CC3E5B">
        <w:rPr>
          <w:rFonts w:eastAsia="Calibri" w:cs="Calibri"/>
        </w:rPr>
        <w:t xml:space="preserve">, </w:t>
      </w:r>
      <w:r w:rsidR="009310AA">
        <w:rPr>
          <w:rFonts w:eastAsia="Calibri" w:cs="Calibri"/>
        </w:rPr>
        <w:t>visando as Eleições Gerais de 2022</w:t>
      </w:r>
      <w:r w:rsidR="00A66DD7">
        <w:rPr>
          <w:rFonts w:eastAsia="Calibri" w:cs="Calibri"/>
        </w:rPr>
        <w:t xml:space="preserve">, </w:t>
      </w:r>
      <w:r w:rsidR="009C280F">
        <w:rPr>
          <w:rFonts w:eastAsia="Calibri" w:cs="Calibri"/>
        </w:rPr>
        <w:t>conforme tab</w:t>
      </w:r>
      <w:r w:rsidR="001D7207">
        <w:rPr>
          <w:rFonts w:eastAsia="Calibri" w:cs="Calibri"/>
        </w:rPr>
        <w:t>el</w:t>
      </w:r>
      <w:r w:rsidR="009C280F">
        <w:rPr>
          <w:rFonts w:eastAsia="Calibri" w:cs="Calibri"/>
        </w:rPr>
        <w:t xml:space="preserve">a </w:t>
      </w:r>
      <w:r w:rsidR="00A66DD7">
        <w:rPr>
          <w:rFonts w:eastAsia="Calibri" w:cs="Calibri"/>
        </w:rPr>
        <w:t>a</w:t>
      </w:r>
      <w:r w:rsidR="008B0A4E">
        <w:rPr>
          <w:rFonts w:eastAsia="Calibri" w:cs="Calibri"/>
        </w:rPr>
        <w:t xml:space="preserve"> seguir</w:t>
      </w:r>
      <w:r w:rsidR="00A66DD7">
        <w:rPr>
          <w:rFonts w:eastAsia="Calibri" w:cs="Calibri"/>
        </w:rPr>
        <w:t>:</w:t>
      </w:r>
      <w:r>
        <w:rPr>
          <w:rFonts w:eastAsia="Calibri" w:cs="Calibri"/>
        </w:rPr>
        <w:br/>
      </w:r>
    </w:p>
    <w:p w14:paraId="6165996A" w14:textId="6B292AA4" w:rsidR="009C280F" w:rsidRDefault="009C280F" w:rsidP="009C280F">
      <w:pPr>
        <w:spacing w:after="0" w:line="240" w:lineRule="auto"/>
        <w:jc w:val="center"/>
        <w:rPr>
          <w:rFonts w:eastAsia="Arial" w:cs="Arial"/>
          <w:b/>
          <w:bCs/>
        </w:rPr>
      </w:pPr>
      <w:r>
        <w:rPr>
          <w:rFonts w:eastAsia="Arial" w:cs="Arial"/>
          <w:b/>
          <w:bCs/>
        </w:rPr>
        <w:t>Tabela 11 – Ganhos com Incorporação de Ativos R$</w:t>
      </w:r>
    </w:p>
    <w:tbl>
      <w:tblPr>
        <w:tblStyle w:val="ListaColorida-nfase6"/>
        <w:tblpPr w:leftFromText="141" w:rightFromText="141" w:vertAnchor="text" w:horzAnchor="margin" w:tblpXSpec="center" w:tblpY="114"/>
        <w:tblW w:w="9214" w:type="dxa"/>
        <w:tblLayout w:type="fixed"/>
        <w:tblLook w:val="0680" w:firstRow="0" w:lastRow="0" w:firstColumn="1" w:lastColumn="0" w:noHBand="1" w:noVBand="1"/>
      </w:tblPr>
      <w:tblGrid>
        <w:gridCol w:w="4395"/>
        <w:gridCol w:w="1418"/>
        <w:gridCol w:w="1535"/>
        <w:gridCol w:w="1866"/>
      </w:tblGrid>
      <w:tr w:rsidR="00460924" w14:paraId="0C492503"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2DAA870F" w14:textId="77777777" w:rsidR="00460924" w:rsidRPr="00CD5CFD" w:rsidRDefault="00460924" w:rsidP="00460924">
            <w:pPr>
              <w:spacing w:after="0" w:line="360" w:lineRule="auto"/>
              <w:rPr>
                <w:rFonts w:ascii="Calibri" w:eastAsia="Calibri" w:hAnsi="Calibri" w:cs="Calibri"/>
              </w:rPr>
            </w:pPr>
            <w:r>
              <w:rPr>
                <w:rFonts w:ascii="Calibri" w:eastAsia="Calibri" w:hAnsi="Calibri" w:cs="Calibri"/>
              </w:rPr>
              <w:t>Ativos</w:t>
            </w:r>
          </w:p>
        </w:tc>
        <w:tc>
          <w:tcPr>
            <w:tcW w:w="1418" w:type="dxa"/>
          </w:tcPr>
          <w:p w14:paraId="020C232B" w14:textId="77777777" w:rsidR="00460924" w:rsidRPr="00E75705"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Pr>
                <w:rFonts w:eastAsia="Calibri" w:cs="Calibri"/>
                <w:b/>
                <w:bCs/>
              </w:rPr>
              <w:t>Data</w:t>
            </w:r>
          </w:p>
        </w:tc>
        <w:tc>
          <w:tcPr>
            <w:tcW w:w="1535" w:type="dxa"/>
          </w:tcPr>
          <w:p w14:paraId="26ADDE7F" w14:textId="77777777" w:rsidR="00460924" w:rsidRPr="00E75705"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rPr>
            </w:pPr>
            <w:r>
              <w:rPr>
                <w:rFonts w:eastAsia="Calibri" w:cs="Calibri"/>
                <w:b/>
                <w:bCs/>
              </w:rPr>
              <w:t>Valor</w:t>
            </w:r>
          </w:p>
        </w:tc>
        <w:tc>
          <w:tcPr>
            <w:tcW w:w="1866" w:type="dxa"/>
          </w:tcPr>
          <w:p w14:paraId="773D789D" w14:textId="6848BCFF" w:rsidR="00460924" w:rsidRPr="00E75705"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eastAsia="Calibri" w:cs="Calibri"/>
                <w:b/>
                <w:bCs/>
              </w:rPr>
            </w:pPr>
            <w:r>
              <w:rPr>
                <w:rFonts w:eastAsia="Calibri" w:cs="Calibri"/>
                <w:b/>
                <w:bCs/>
              </w:rPr>
              <w:t>Documento SIA</w:t>
            </w:r>
            <w:r w:rsidR="00C261FD">
              <w:rPr>
                <w:rFonts w:eastAsia="Calibri" w:cs="Calibri"/>
                <w:b/>
                <w:bCs/>
              </w:rPr>
              <w:t>F</w:t>
            </w:r>
            <w:r>
              <w:rPr>
                <w:rFonts w:eastAsia="Calibri" w:cs="Calibri"/>
                <w:b/>
                <w:bCs/>
              </w:rPr>
              <w:t>I</w:t>
            </w:r>
          </w:p>
        </w:tc>
      </w:tr>
      <w:tr w:rsidR="00460924" w14:paraId="4BC3A00E"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6D1D8EDF" w14:textId="77777777" w:rsidR="00460924" w:rsidRPr="00C35370"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Urnas eletrônicas 2020</w:t>
            </w:r>
          </w:p>
        </w:tc>
        <w:tc>
          <w:tcPr>
            <w:tcW w:w="1418" w:type="dxa"/>
          </w:tcPr>
          <w:p w14:paraId="21FEF65A" w14:textId="77777777" w:rsidR="00460924" w:rsidRPr="00EB4989"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B4989">
              <w:rPr>
                <w:rFonts w:ascii="Calibri" w:eastAsia="Calibri" w:hAnsi="Calibri" w:cs="Calibri"/>
              </w:rPr>
              <w:t>16/02/2022</w:t>
            </w:r>
          </w:p>
        </w:tc>
        <w:tc>
          <w:tcPr>
            <w:tcW w:w="1535" w:type="dxa"/>
          </w:tcPr>
          <w:p w14:paraId="4D3D9F8E" w14:textId="77777777" w:rsidR="00460924" w:rsidRPr="00D8343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4.526.170,00</w:t>
            </w:r>
          </w:p>
        </w:tc>
        <w:tc>
          <w:tcPr>
            <w:tcW w:w="1866" w:type="dxa"/>
          </w:tcPr>
          <w:p w14:paraId="501EE1A7" w14:textId="77777777" w:rsidR="00460924" w:rsidRPr="00BE0913"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2022NS000785</w:t>
            </w:r>
          </w:p>
        </w:tc>
      </w:tr>
      <w:tr w:rsidR="00460924" w14:paraId="5716E0FE"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2AE01181" w14:textId="77777777" w:rsidR="00460924" w:rsidRPr="00E94411"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Urnas eletrônicas 2020</w:t>
            </w:r>
          </w:p>
        </w:tc>
        <w:tc>
          <w:tcPr>
            <w:tcW w:w="1418" w:type="dxa"/>
          </w:tcPr>
          <w:p w14:paraId="710C4239" w14:textId="77777777" w:rsidR="00460924" w:rsidRPr="00EB4989"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16/02/2022</w:t>
            </w:r>
          </w:p>
        </w:tc>
        <w:tc>
          <w:tcPr>
            <w:tcW w:w="1535" w:type="dxa"/>
          </w:tcPr>
          <w:p w14:paraId="7E558608" w14:textId="77777777" w:rsidR="00460924" w:rsidRPr="00D8343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617.205,00</w:t>
            </w:r>
          </w:p>
        </w:tc>
        <w:tc>
          <w:tcPr>
            <w:tcW w:w="1866" w:type="dxa"/>
          </w:tcPr>
          <w:p w14:paraId="3203CE87"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2022NS000852</w:t>
            </w:r>
          </w:p>
        </w:tc>
      </w:tr>
      <w:tr w:rsidR="00460924" w14:paraId="04F2E0A9"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23C242D9" w14:textId="77777777" w:rsidR="00460924" w:rsidRPr="00E94411"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Urnas eletrônicas 2020</w:t>
            </w:r>
          </w:p>
        </w:tc>
        <w:tc>
          <w:tcPr>
            <w:tcW w:w="1418" w:type="dxa"/>
          </w:tcPr>
          <w:p w14:paraId="6E8B38C0" w14:textId="77777777" w:rsidR="00460924" w:rsidRPr="00EB4989"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23/02/2022</w:t>
            </w:r>
          </w:p>
        </w:tc>
        <w:tc>
          <w:tcPr>
            <w:tcW w:w="1535" w:type="dxa"/>
          </w:tcPr>
          <w:p w14:paraId="6E0D073F" w14:textId="77777777" w:rsidR="00460924" w:rsidRPr="00D8343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205.735,00</w:t>
            </w:r>
          </w:p>
        </w:tc>
        <w:tc>
          <w:tcPr>
            <w:tcW w:w="1866" w:type="dxa"/>
          </w:tcPr>
          <w:p w14:paraId="04DBF281"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2022NS000908</w:t>
            </w:r>
          </w:p>
        </w:tc>
      </w:tr>
      <w:tr w:rsidR="00460924" w14:paraId="5A63CF63"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74A163CC" w14:textId="77777777" w:rsidR="00460924" w:rsidRPr="007444F3"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Mídias de resultado UE2020</w:t>
            </w:r>
          </w:p>
        </w:tc>
        <w:tc>
          <w:tcPr>
            <w:tcW w:w="1418" w:type="dxa"/>
          </w:tcPr>
          <w:p w14:paraId="6E7E6FFC" w14:textId="77777777" w:rsidR="00460924" w:rsidRPr="00EB4989"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24/02/2022</w:t>
            </w:r>
          </w:p>
        </w:tc>
        <w:tc>
          <w:tcPr>
            <w:tcW w:w="1535" w:type="dxa"/>
          </w:tcPr>
          <w:p w14:paraId="039AFF87" w14:textId="77777777" w:rsidR="00460924" w:rsidRPr="00D8343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151.271,70</w:t>
            </w:r>
          </w:p>
        </w:tc>
        <w:tc>
          <w:tcPr>
            <w:tcW w:w="1866" w:type="dxa"/>
          </w:tcPr>
          <w:p w14:paraId="6C497D96"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2022NS000939</w:t>
            </w:r>
          </w:p>
        </w:tc>
      </w:tr>
      <w:tr w:rsidR="00460924" w14:paraId="37C7A526"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4217F862" w14:textId="77777777" w:rsidR="00460924" w:rsidRPr="0024059E"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Urnas eletrônicas 2020</w:t>
            </w:r>
          </w:p>
        </w:tc>
        <w:tc>
          <w:tcPr>
            <w:tcW w:w="1418" w:type="dxa"/>
          </w:tcPr>
          <w:p w14:paraId="2CA0A543" w14:textId="77777777" w:rsidR="00460924" w:rsidRPr="00EB4989"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08/06/2022</w:t>
            </w:r>
          </w:p>
        </w:tc>
        <w:tc>
          <w:tcPr>
            <w:tcW w:w="1535" w:type="dxa"/>
          </w:tcPr>
          <w:p w14:paraId="29F0D721"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4.937.640,00</w:t>
            </w:r>
          </w:p>
        </w:tc>
        <w:tc>
          <w:tcPr>
            <w:tcW w:w="1866" w:type="dxa"/>
          </w:tcPr>
          <w:p w14:paraId="1779D406"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2022NS002804</w:t>
            </w:r>
          </w:p>
        </w:tc>
      </w:tr>
      <w:tr w:rsidR="00460924" w14:paraId="32CD1857"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01177AC6" w14:textId="77777777" w:rsidR="00460924" w:rsidRPr="007444F3"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Urnas eletrônicas 2020</w:t>
            </w:r>
          </w:p>
        </w:tc>
        <w:tc>
          <w:tcPr>
            <w:tcW w:w="1418" w:type="dxa"/>
          </w:tcPr>
          <w:p w14:paraId="7CCDBAD8"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15/06/2022</w:t>
            </w:r>
          </w:p>
        </w:tc>
        <w:tc>
          <w:tcPr>
            <w:tcW w:w="1535" w:type="dxa"/>
          </w:tcPr>
          <w:p w14:paraId="7B85E428"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411.470,00</w:t>
            </w:r>
          </w:p>
        </w:tc>
        <w:tc>
          <w:tcPr>
            <w:tcW w:w="1866" w:type="dxa"/>
          </w:tcPr>
          <w:p w14:paraId="5A8EC94B"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2022NS002961</w:t>
            </w:r>
          </w:p>
        </w:tc>
      </w:tr>
      <w:tr w:rsidR="00460924" w14:paraId="1094B823"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012B9022" w14:textId="77777777" w:rsidR="00460924" w:rsidRPr="007444F3"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Urnas eletrônicas 2020</w:t>
            </w:r>
          </w:p>
        </w:tc>
        <w:tc>
          <w:tcPr>
            <w:tcW w:w="1418" w:type="dxa"/>
          </w:tcPr>
          <w:p w14:paraId="7F45299C"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22/06/2022</w:t>
            </w:r>
          </w:p>
        </w:tc>
        <w:tc>
          <w:tcPr>
            <w:tcW w:w="1535" w:type="dxa"/>
          </w:tcPr>
          <w:p w14:paraId="1B5A4DE5"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1.197.377,70</w:t>
            </w:r>
          </w:p>
        </w:tc>
        <w:tc>
          <w:tcPr>
            <w:tcW w:w="1866" w:type="dxa"/>
          </w:tcPr>
          <w:p w14:paraId="726B11BF"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2022NS003115</w:t>
            </w:r>
          </w:p>
        </w:tc>
      </w:tr>
      <w:tr w:rsidR="00460924" w14:paraId="3B329614"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3468D1FC" w14:textId="77777777" w:rsidR="00460924" w:rsidRPr="007444F3"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Urnas eletrônicas 2020</w:t>
            </w:r>
          </w:p>
        </w:tc>
        <w:tc>
          <w:tcPr>
            <w:tcW w:w="1418" w:type="dxa"/>
          </w:tcPr>
          <w:p w14:paraId="344C7E06"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22/07/2022</w:t>
            </w:r>
          </w:p>
        </w:tc>
        <w:tc>
          <w:tcPr>
            <w:tcW w:w="1535" w:type="dxa"/>
          </w:tcPr>
          <w:p w14:paraId="758B7EF9"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407.355,30</w:t>
            </w:r>
          </w:p>
        </w:tc>
        <w:tc>
          <w:tcPr>
            <w:tcW w:w="1866" w:type="dxa"/>
          </w:tcPr>
          <w:p w14:paraId="03930BA6" w14:textId="77777777" w:rsidR="00460924" w:rsidRPr="00E94411"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2022NS003798</w:t>
            </w:r>
          </w:p>
        </w:tc>
      </w:tr>
      <w:tr w:rsidR="00460924" w14:paraId="4C7C381E" w14:textId="77777777" w:rsidTr="00C261FD">
        <w:trPr>
          <w:trHeight w:val="300"/>
        </w:trPr>
        <w:tc>
          <w:tcPr>
            <w:cnfStyle w:val="001000000000" w:firstRow="0" w:lastRow="0" w:firstColumn="1" w:lastColumn="0" w:oddVBand="0" w:evenVBand="0" w:oddHBand="0" w:evenHBand="0" w:firstRowFirstColumn="0" w:firstRowLastColumn="0" w:lastRowFirstColumn="0" w:lastRowLastColumn="0"/>
            <w:tcW w:w="4395" w:type="dxa"/>
          </w:tcPr>
          <w:p w14:paraId="1EB44EA4" w14:textId="77777777" w:rsidR="00460924" w:rsidRDefault="00460924" w:rsidP="00460924">
            <w:pPr>
              <w:spacing w:after="0" w:line="360" w:lineRule="auto"/>
              <w:rPr>
                <w:rFonts w:ascii="Calibri" w:eastAsia="Calibri" w:hAnsi="Calibri" w:cs="Calibri"/>
                <w:b w:val="0"/>
                <w:bCs w:val="0"/>
              </w:rPr>
            </w:pPr>
            <w:r>
              <w:rPr>
                <w:rFonts w:ascii="Calibri" w:eastAsia="Calibri" w:hAnsi="Calibri" w:cs="Calibri"/>
                <w:b w:val="0"/>
                <w:bCs w:val="0"/>
              </w:rPr>
              <w:t>Lacres para urnas e envelopes de segurança</w:t>
            </w:r>
          </w:p>
        </w:tc>
        <w:tc>
          <w:tcPr>
            <w:tcW w:w="1418" w:type="dxa"/>
          </w:tcPr>
          <w:p w14:paraId="0639A719" w14:textId="77777777" w:rsidR="00460924"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28/07/2022</w:t>
            </w:r>
          </w:p>
        </w:tc>
        <w:tc>
          <w:tcPr>
            <w:tcW w:w="1535" w:type="dxa"/>
          </w:tcPr>
          <w:p w14:paraId="6CCC226D" w14:textId="77777777" w:rsidR="00460924"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302.305,39</w:t>
            </w:r>
          </w:p>
        </w:tc>
        <w:tc>
          <w:tcPr>
            <w:tcW w:w="1866" w:type="dxa"/>
          </w:tcPr>
          <w:p w14:paraId="6E51A036" w14:textId="77777777" w:rsidR="00460924" w:rsidRDefault="00460924" w:rsidP="00460924">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2022NS003860</w:t>
            </w:r>
          </w:p>
        </w:tc>
      </w:tr>
    </w:tbl>
    <w:p w14:paraId="11BB7098" w14:textId="77777777" w:rsidR="009C280F" w:rsidRDefault="009C280F" w:rsidP="009C280F">
      <w:pPr>
        <w:spacing w:after="0" w:line="240" w:lineRule="auto"/>
        <w:jc w:val="center"/>
        <w:rPr>
          <w:rFonts w:ascii="Calibri" w:eastAsia="Calibri" w:hAnsi="Calibri" w:cs="Calibri"/>
        </w:rPr>
      </w:pPr>
    </w:p>
    <w:p w14:paraId="2306617F" w14:textId="77777777" w:rsidR="00C261FD" w:rsidRDefault="00C261FD" w:rsidP="00BC1DAF">
      <w:pPr>
        <w:spacing w:line="276" w:lineRule="auto"/>
        <w:jc w:val="both"/>
        <w:rPr>
          <w:rFonts w:eastAsia="Calibri" w:cs="Calibri"/>
          <w:b/>
          <w:bCs/>
        </w:rPr>
      </w:pPr>
    </w:p>
    <w:p w14:paraId="5A0EF702" w14:textId="77416681" w:rsidR="00352510" w:rsidRDefault="00291BDC" w:rsidP="00BC1DAF">
      <w:pPr>
        <w:spacing w:line="276" w:lineRule="auto"/>
        <w:jc w:val="both"/>
        <w:rPr>
          <w:rFonts w:eastAsia="Calibri" w:cs="Calibri"/>
          <w:b/>
          <w:bCs/>
        </w:rPr>
      </w:pPr>
      <w:r>
        <w:rPr>
          <w:rFonts w:eastAsia="Calibri" w:cs="Calibri"/>
          <w:b/>
          <w:bCs/>
        </w:rPr>
        <w:t xml:space="preserve">Diversas </w:t>
      </w:r>
      <w:r w:rsidR="00CE072D">
        <w:rPr>
          <w:rFonts w:eastAsia="Calibri" w:cs="Calibri"/>
          <w:b/>
          <w:bCs/>
        </w:rPr>
        <w:t>Variações Patrimoniais Aumentativas</w:t>
      </w:r>
    </w:p>
    <w:p w14:paraId="6C9248C8" w14:textId="153ECA13" w:rsidR="00413104" w:rsidRDefault="00C261FD" w:rsidP="00BC1DAF">
      <w:pPr>
        <w:spacing w:line="276" w:lineRule="auto"/>
        <w:jc w:val="both"/>
        <w:rPr>
          <w:rFonts w:eastAsia="Calibri" w:cs="Calibri"/>
        </w:rPr>
      </w:pPr>
      <w:r>
        <w:rPr>
          <w:rFonts w:eastAsia="Calibri" w:cs="Calibri"/>
        </w:rPr>
        <w:t>Aqui estão apresentadas às variações patrimoniais aumentativas decorrentes de indenizações, restituições e ressarcimentos diversos; as relativas à compensação financeira entre o regime geral da previdência social e os regimes próprios dos servidores da União, bem como as decorrentes de penalidades pecuniárias (multas).</w:t>
      </w:r>
    </w:p>
    <w:p w14:paraId="24DAF187" w14:textId="00E11DAF" w:rsidR="00C261FD" w:rsidRPr="00C261FD" w:rsidRDefault="00C261FD" w:rsidP="00BC1DAF">
      <w:pPr>
        <w:spacing w:line="276" w:lineRule="auto"/>
        <w:jc w:val="both"/>
        <w:rPr>
          <w:rFonts w:eastAsia="Calibri" w:cs="Calibri"/>
        </w:rPr>
      </w:pPr>
      <w:r>
        <w:rPr>
          <w:rFonts w:eastAsia="Calibri" w:cs="Calibri"/>
        </w:rPr>
        <w:t>A variação positiva de 110,94% apresentada no final do exercício de 2022, em relação à 2021, deve-se, principalmente, aos registros de multas eleitorais</w:t>
      </w:r>
      <w:r w:rsidR="0034683A">
        <w:rPr>
          <w:rFonts w:eastAsia="Calibri" w:cs="Calibri"/>
        </w:rPr>
        <w:t xml:space="preserve">, conforme </w:t>
      </w:r>
      <w:r w:rsidR="0059442C">
        <w:rPr>
          <w:rFonts w:eastAsia="Calibri" w:cs="Calibri"/>
        </w:rPr>
        <w:t xml:space="preserve">preza o </w:t>
      </w:r>
      <w:r w:rsidR="0034683A">
        <w:rPr>
          <w:rFonts w:eastAsia="Calibri" w:cs="Calibri"/>
        </w:rPr>
        <w:t>Código Eleitoral.</w:t>
      </w:r>
    </w:p>
    <w:p w14:paraId="44C34B52" w14:textId="77777777" w:rsidR="0059442C" w:rsidRDefault="0059442C">
      <w:pPr>
        <w:jc w:val="both"/>
        <w:rPr>
          <w:rFonts w:eastAsia="Calibri" w:cs="Calibri"/>
        </w:rPr>
      </w:pPr>
    </w:p>
    <w:p w14:paraId="2487FE73" w14:textId="77777777" w:rsidR="0065486A" w:rsidRDefault="0065486A">
      <w:pPr>
        <w:jc w:val="both"/>
        <w:rPr>
          <w:rFonts w:eastAsia="Calibri" w:cs="Calibri"/>
        </w:rPr>
      </w:pPr>
    </w:p>
    <w:p w14:paraId="39550C66" w14:textId="42FF0369" w:rsidR="00727549" w:rsidRDefault="00492BDB">
      <w:pPr>
        <w:jc w:val="both"/>
        <w:rPr>
          <w:rFonts w:eastAsia="Calibri" w:cs="Calibri"/>
        </w:rPr>
      </w:pPr>
      <w:r>
        <w:rPr>
          <w:rFonts w:eastAsia="Calibri" w:cs="Calibri"/>
          <w:b/>
          <w:bCs/>
        </w:rPr>
        <w:lastRenderedPageBreak/>
        <w:t>2</w:t>
      </w:r>
      <w:r w:rsidR="00727549">
        <w:rPr>
          <w:rFonts w:eastAsia="Calibri" w:cs="Calibri"/>
          <w:b/>
          <w:bCs/>
        </w:rPr>
        <w:t xml:space="preserve">.2.2 VARIAÇÃO PATRIMONIAL DIMINUTIVA </w:t>
      </w:r>
      <w:r w:rsidR="00CE2DAF">
        <w:rPr>
          <w:rFonts w:eastAsia="Calibri" w:cs="Calibri"/>
          <w:b/>
          <w:bCs/>
        </w:rPr>
        <w:t>–</w:t>
      </w:r>
      <w:r w:rsidR="00727549">
        <w:rPr>
          <w:rFonts w:eastAsia="Calibri" w:cs="Calibri"/>
          <w:b/>
          <w:bCs/>
        </w:rPr>
        <w:t xml:space="preserve"> VPD</w:t>
      </w:r>
    </w:p>
    <w:p w14:paraId="622BC539" w14:textId="7B4F5E7D" w:rsidR="00CE2DAF" w:rsidRPr="0009075F" w:rsidRDefault="00132046">
      <w:pPr>
        <w:jc w:val="both"/>
        <w:rPr>
          <w:rFonts w:eastAsia="Calibri" w:cs="Calibri"/>
          <w:b/>
          <w:bCs/>
        </w:rPr>
      </w:pPr>
      <w:r>
        <w:rPr>
          <w:rFonts w:eastAsia="Calibri" w:cs="Calibri"/>
          <w:b/>
          <w:bCs/>
        </w:rPr>
        <w:br/>
      </w:r>
      <w:r w:rsidR="00CE2DAF" w:rsidRPr="0009075F">
        <w:rPr>
          <w:rFonts w:eastAsia="Calibri" w:cs="Calibri"/>
          <w:b/>
          <w:bCs/>
        </w:rPr>
        <w:t xml:space="preserve">NOTA 15 </w:t>
      </w:r>
      <w:r w:rsidR="0009075F" w:rsidRPr="0009075F">
        <w:rPr>
          <w:rFonts w:eastAsia="Calibri" w:cs="Calibri"/>
          <w:b/>
          <w:bCs/>
        </w:rPr>
        <w:t xml:space="preserve">– </w:t>
      </w:r>
      <w:r w:rsidR="00FC75DA" w:rsidRPr="00974A36">
        <w:rPr>
          <w:rFonts w:eastAsia="Calibri" w:cs="Calibri"/>
          <w:b/>
          <w:bCs/>
        </w:rPr>
        <w:t>PESSOAL E ENCARGOS</w:t>
      </w:r>
    </w:p>
    <w:p w14:paraId="5F3ED517" w14:textId="53982B09" w:rsidR="00727549" w:rsidRDefault="00556480" w:rsidP="0096107F">
      <w:pPr>
        <w:spacing w:line="276" w:lineRule="auto"/>
        <w:jc w:val="both"/>
        <w:rPr>
          <w:rFonts w:eastAsia="Calibri" w:cs="Calibri"/>
        </w:rPr>
      </w:pPr>
      <w:r>
        <w:rPr>
          <w:rFonts w:eastAsia="Calibri" w:cs="Calibri"/>
        </w:rPr>
        <w:t>Esta conta abrange as variações patrimoniais diminutivas relacionadas com pessoal e encargos</w:t>
      </w:r>
      <w:r w:rsidR="00142A28">
        <w:rPr>
          <w:rFonts w:eastAsia="Calibri" w:cs="Calibri"/>
        </w:rPr>
        <w:t xml:space="preserve">, </w:t>
      </w:r>
      <w:r w:rsidR="006D560B">
        <w:rPr>
          <w:rFonts w:eastAsia="Calibri" w:cs="Calibri"/>
        </w:rPr>
        <w:t>não abrangidas nos demais grupos de VPD, por exemplo</w:t>
      </w:r>
      <w:r w:rsidR="00142A28">
        <w:rPr>
          <w:rFonts w:eastAsia="Calibri" w:cs="Calibri"/>
        </w:rPr>
        <w:t xml:space="preserve">: indenizações e restituições trabalhistas, ressarcimento a outras entidades estatais </w:t>
      </w:r>
      <w:r w:rsidR="008A386A">
        <w:rPr>
          <w:rFonts w:eastAsia="Calibri" w:cs="Calibri"/>
        </w:rPr>
        <w:t>referentes as despesas com pessoal requisitado</w:t>
      </w:r>
      <w:r w:rsidR="006D560B">
        <w:rPr>
          <w:rFonts w:eastAsia="Calibri" w:cs="Calibri"/>
        </w:rPr>
        <w:t>.</w:t>
      </w:r>
    </w:p>
    <w:p w14:paraId="1D2649C4" w14:textId="6D2909DC" w:rsidR="006D560B" w:rsidRPr="0065486A" w:rsidRDefault="003C0B21" w:rsidP="0096107F">
      <w:pPr>
        <w:spacing w:line="276" w:lineRule="auto"/>
        <w:jc w:val="both"/>
        <w:rPr>
          <w:rFonts w:eastAsia="Calibri" w:cs="Calibri"/>
        </w:rPr>
      </w:pPr>
      <w:r w:rsidRPr="0065486A">
        <w:rPr>
          <w:rFonts w:eastAsia="Calibri" w:cs="Calibri"/>
        </w:rPr>
        <w:t xml:space="preserve">No exercício de 2022, houve </w:t>
      </w:r>
      <w:r w:rsidR="00445AE2" w:rsidRPr="0065486A">
        <w:rPr>
          <w:rFonts w:eastAsia="Calibri" w:cs="Calibri"/>
        </w:rPr>
        <w:t xml:space="preserve">uma variação positiva de </w:t>
      </w:r>
      <w:r w:rsidR="00243F72" w:rsidRPr="0065486A">
        <w:rPr>
          <w:rFonts w:eastAsia="Calibri" w:cs="Calibri"/>
        </w:rPr>
        <w:t>8,7</w:t>
      </w:r>
      <w:r w:rsidR="004121F9" w:rsidRPr="0065486A">
        <w:rPr>
          <w:rFonts w:eastAsia="Calibri" w:cs="Calibri"/>
        </w:rPr>
        <w:t>5</w:t>
      </w:r>
      <w:r w:rsidR="00243F72" w:rsidRPr="0065486A">
        <w:rPr>
          <w:rFonts w:eastAsia="Calibri" w:cs="Calibri"/>
        </w:rPr>
        <w:t>%</w:t>
      </w:r>
      <w:r w:rsidR="004121F9" w:rsidRPr="0065486A">
        <w:rPr>
          <w:rFonts w:eastAsia="Calibri" w:cs="Calibri"/>
        </w:rPr>
        <w:t xml:space="preserve"> na conta “Remuneração e Pessoal”</w:t>
      </w:r>
      <w:r w:rsidR="0075242F" w:rsidRPr="0065486A">
        <w:rPr>
          <w:rFonts w:eastAsia="Calibri" w:cs="Calibri"/>
        </w:rPr>
        <w:t>, decorrente de pagamento de mesários e colaboradores nas Eleições Gerais 2022</w:t>
      </w:r>
      <w:r w:rsidR="005A6D75" w:rsidRPr="0065486A">
        <w:rPr>
          <w:rFonts w:eastAsia="Calibri" w:cs="Calibri"/>
        </w:rPr>
        <w:t>.</w:t>
      </w:r>
    </w:p>
    <w:p w14:paraId="5CDE3BA2" w14:textId="77777777" w:rsidR="005A6D75" w:rsidRPr="0096107F" w:rsidRDefault="005A6D75" w:rsidP="0096107F">
      <w:pPr>
        <w:spacing w:line="276" w:lineRule="auto"/>
        <w:jc w:val="both"/>
        <w:rPr>
          <w:rFonts w:eastAsia="Calibri" w:cs="Calibri"/>
        </w:rPr>
      </w:pPr>
    </w:p>
    <w:p w14:paraId="50B46335" w14:textId="391A584D" w:rsidR="00132046" w:rsidRDefault="00132046" w:rsidP="00132046">
      <w:pPr>
        <w:jc w:val="both"/>
        <w:rPr>
          <w:rFonts w:eastAsia="Calibri" w:cs="Calibri"/>
          <w:b/>
          <w:bCs/>
        </w:rPr>
      </w:pPr>
      <w:r w:rsidRPr="0009075F">
        <w:rPr>
          <w:rFonts w:eastAsia="Calibri" w:cs="Calibri"/>
          <w:b/>
          <w:bCs/>
        </w:rPr>
        <w:t>NOTA 1</w:t>
      </w:r>
      <w:r>
        <w:rPr>
          <w:rFonts w:eastAsia="Calibri" w:cs="Calibri"/>
          <w:b/>
          <w:bCs/>
        </w:rPr>
        <w:t>6</w:t>
      </w:r>
      <w:r w:rsidRPr="0009075F">
        <w:rPr>
          <w:rFonts w:eastAsia="Calibri" w:cs="Calibri"/>
          <w:b/>
          <w:bCs/>
        </w:rPr>
        <w:t xml:space="preserve"> –</w:t>
      </w:r>
      <w:r w:rsidR="00FC75DA">
        <w:rPr>
          <w:rFonts w:eastAsia="Calibri" w:cs="Calibri"/>
          <w:b/>
          <w:bCs/>
        </w:rPr>
        <w:t xml:space="preserve"> BENEFÍCIOS PREVIDÊNCIÁRIOS E ASSISTENCIAIS</w:t>
      </w:r>
    </w:p>
    <w:p w14:paraId="39A78A9D" w14:textId="76F4AEDD" w:rsidR="0004604A" w:rsidRDefault="00EC6560" w:rsidP="00FD5F7B">
      <w:pPr>
        <w:spacing w:line="276" w:lineRule="auto"/>
        <w:jc w:val="both"/>
        <w:rPr>
          <w:rFonts w:eastAsia="Calibri" w:cs="Calibri"/>
        </w:rPr>
      </w:pPr>
      <w:r>
        <w:rPr>
          <w:rFonts w:eastAsia="Calibri" w:cs="Calibri"/>
        </w:rPr>
        <w:t xml:space="preserve">Esta conta evidencia </w:t>
      </w:r>
      <w:r w:rsidR="006E3526">
        <w:rPr>
          <w:rFonts w:eastAsia="Calibri" w:cs="Calibri"/>
        </w:rPr>
        <w:t>os benefícios assistenciais ao servidor civil ou seus dependentes, não abrangidos em outr</w:t>
      </w:r>
      <w:r w:rsidR="00F14FB9">
        <w:rPr>
          <w:rFonts w:eastAsia="Calibri" w:cs="Calibri"/>
        </w:rPr>
        <w:t>os grupos. Compreende os saldos que não serão excluídos nos demonstrativos consolidados do orçamento fiscal e de seguridade social (OFSS).</w:t>
      </w:r>
    </w:p>
    <w:p w14:paraId="2DDEC8A4" w14:textId="75C6FB48" w:rsidR="00F14FB9" w:rsidRPr="00F25A8C" w:rsidRDefault="005F7AB9" w:rsidP="00FD5F7B">
      <w:pPr>
        <w:spacing w:line="276" w:lineRule="auto"/>
        <w:jc w:val="both"/>
        <w:rPr>
          <w:rFonts w:eastAsia="Calibri" w:cs="Calibri"/>
          <w:color w:val="FF0000"/>
        </w:rPr>
      </w:pPr>
      <w:r>
        <w:rPr>
          <w:rFonts w:eastAsia="Calibri" w:cs="Calibri"/>
        </w:rPr>
        <w:t xml:space="preserve">Neste grupo de contas, </w:t>
      </w:r>
      <w:r w:rsidR="00C71427">
        <w:rPr>
          <w:rFonts w:eastAsia="Calibri" w:cs="Calibri"/>
        </w:rPr>
        <w:t>destaca</w:t>
      </w:r>
      <w:r>
        <w:rPr>
          <w:rFonts w:eastAsia="Calibri" w:cs="Calibri"/>
        </w:rPr>
        <w:t xml:space="preserve">-se a variação positiva </w:t>
      </w:r>
      <w:r w:rsidR="00863C67">
        <w:rPr>
          <w:rFonts w:eastAsia="Calibri" w:cs="Calibri"/>
        </w:rPr>
        <w:t xml:space="preserve">de </w:t>
      </w:r>
      <w:r w:rsidR="00772817">
        <w:rPr>
          <w:rFonts w:eastAsia="Calibri" w:cs="Calibri"/>
        </w:rPr>
        <w:t>65,57%</w:t>
      </w:r>
      <w:r w:rsidR="001A5838">
        <w:rPr>
          <w:rFonts w:eastAsia="Calibri" w:cs="Calibri"/>
        </w:rPr>
        <w:t xml:space="preserve"> em 2022 em</w:t>
      </w:r>
      <w:r w:rsidR="00CC084A">
        <w:rPr>
          <w:rFonts w:eastAsia="Calibri" w:cs="Calibri"/>
        </w:rPr>
        <w:t xml:space="preserve"> </w:t>
      </w:r>
      <w:r w:rsidR="001A5838">
        <w:rPr>
          <w:rFonts w:eastAsia="Calibri" w:cs="Calibri"/>
        </w:rPr>
        <w:t>relação ao exercício de 2021</w:t>
      </w:r>
      <w:r w:rsidR="00772817">
        <w:rPr>
          <w:rFonts w:eastAsia="Calibri" w:cs="Calibri"/>
        </w:rPr>
        <w:t xml:space="preserve">, </w:t>
      </w:r>
      <w:r w:rsidR="00C71427">
        <w:rPr>
          <w:rFonts w:eastAsia="Calibri" w:cs="Calibri"/>
        </w:rPr>
        <w:t xml:space="preserve">na conta </w:t>
      </w:r>
      <w:r w:rsidR="00863C67">
        <w:rPr>
          <w:rFonts w:eastAsia="Calibri" w:cs="Calibri"/>
        </w:rPr>
        <w:t xml:space="preserve">“Outros Benefícios Previdenciários e Assistenciais”, </w:t>
      </w:r>
      <w:r w:rsidR="00DF1C10">
        <w:rPr>
          <w:rFonts w:eastAsia="Calibri" w:cs="Calibri"/>
        </w:rPr>
        <w:t xml:space="preserve">resultante, principalmente, </w:t>
      </w:r>
      <w:r w:rsidR="00E5193B">
        <w:rPr>
          <w:rFonts w:eastAsia="Calibri" w:cs="Calibri"/>
        </w:rPr>
        <w:t>do reajuste</w:t>
      </w:r>
      <w:r w:rsidR="00DF1C10">
        <w:rPr>
          <w:rFonts w:eastAsia="Calibri" w:cs="Calibri"/>
        </w:rPr>
        <w:t xml:space="preserve"> do valor de ressarcimento decorrente </w:t>
      </w:r>
      <w:r w:rsidR="00AE09A9">
        <w:rPr>
          <w:rFonts w:eastAsia="Calibri" w:cs="Calibri"/>
        </w:rPr>
        <w:t>da assistência à saúde</w:t>
      </w:r>
      <w:r w:rsidR="00E87A7B">
        <w:rPr>
          <w:rFonts w:eastAsia="Calibri" w:cs="Calibri"/>
        </w:rPr>
        <w:t xml:space="preserve"> e do plano de saúde consignado em folha de pagamento aos servidores ativos, inativos e pensionistas. </w:t>
      </w:r>
    </w:p>
    <w:p w14:paraId="39144D7F" w14:textId="4B5CCBB0" w:rsidR="00F25A8C" w:rsidRPr="00BD39C5" w:rsidRDefault="00F25A8C" w:rsidP="00FD5F7B">
      <w:pPr>
        <w:spacing w:line="276" w:lineRule="auto"/>
        <w:jc w:val="both"/>
        <w:rPr>
          <w:rFonts w:eastAsia="Calibri" w:cs="Calibri"/>
        </w:rPr>
      </w:pPr>
      <w:r w:rsidRPr="00BD39C5">
        <w:rPr>
          <w:rFonts w:eastAsia="Calibri" w:cs="Calibri"/>
        </w:rPr>
        <w:t xml:space="preserve">Ressalta-se também, o ajuste contábil realizado </w:t>
      </w:r>
      <w:r w:rsidR="00977A84" w:rsidRPr="00BD39C5">
        <w:rPr>
          <w:rFonts w:eastAsia="Calibri" w:cs="Calibri"/>
        </w:rPr>
        <w:t xml:space="preserve">em 14/07/2022, </w:t>
      </w:r>
      <w:r w:rsidRPr="00BD39C5">
        <w:rPr>
          <w:rFonts w:eastAsia="Calibri" w:cs="Calibri"/>
        </w:rPr>
        <w:t>em decorr</w:t>
      </w:r>
      <w:r w:rsidR="00CC084A" w:rsidRPr="00BD39C5">
        <w:rPr>
          <w:rFonts w:eastAsia="Calibri" w:cs="Calibri"/>
        </w:rPr>
        <w:t>ê</w:t>
      </w:r>
      <w:r w:rsidRPr="00BD39C5">
        <w:rPr>
          <w:rFonts w:eastAsia="Calibri" w:cs="Calibri"/>
        </w:rPr>
        <w:t>ncia da troca de fonte de dotação orçamentária</w:t>
      </w:r>
      <w:r w:rsidR="00AE2724" w:rsidRPr="00BD39C5">
        <w:rPr>
          <w:rFonts w:eastAsia="Calibri" w:cs="Calibri"/>
        </w:rPr>
        <w:t xml:space="preserve">, cujos valores foram reclassificados </w:t>
      </w:r>
      <w:r w:rsidR="006F602F" w:rsidRPr="00BD39C5">
        <w:rPr>
          <w:rFonts w:eastAsia="Calibri" w:cs="Calibri"/>
        </w:rPr>
        <w:t>da fonte de de</w:t>
      </w:r>
      <w:r w:rsidR="00640222" w:rsidRPr="00BD39C5">
        <w:rPr>
          <w:rFonts w:eastAsia="Calibri" w:cs="Calibri"/>
        </w:rPr>
        <w:t>sp</w:t>
      </w:r>
      <w:r w:rsidR="006F602F" w:rsidRPr="00BD39C5">
        <w:rPr>
          <w:rFonts w:eastAsia="Calibri" w:cs="Calibri"/>
        </w:rPr>
        <w:t xml:space="preserve">esas 151 (Recursos Livres da Seguridade Social) </w:t>
      </w:r>
      <w:r w:rsidR="00977A84" w:rsidRPr="00BD39C5">
        <w:rPr>
          <w:rFonts w:eastAsia="Calibri" w:cs="Calibri"/>
        </w:rPr>
        <w:t>para</w:t>
      </w:r>
      <w:r w:rsidR="006F602F" w:rsidRPr="00BD39C5">
        <w:rPr>
          <w:rFonts w:eastAsia="Calibri" w:cs="Calibri"/>
        </w:rPr>
        <w:t xml:space="preserve"> fonte 188 (Recursos Financeiros de Livre Aplicação), conforme </w:t>
      </w:r>
      <w:r w:rsidR="00BD39C5" w:rsidRPr="00BD39C5">
        <w:rPr>
          <w:rFonts w:eastAsia="Calibri" w:cs="Calibri"/>
        </w:rPr>
        <w:t>documento SIAFI 2022NS003594 (proc. SEI nº 4300-64.2022).</w:t>
      </w:r>
    </w:p>
    <w:p w14:paraId="435B2ED5" w14:textId="021869FA" w:rsidR="0004604A" w:rsidRDefault="001F3289" w:rsidP="0004604A">
      <w:pPr>
        <w:jc w:val="both"/>
        <w:rPr>
          <w:rFonts w:eastAsia="Calibri" w:cs="Calibri"/>
          <w:b/>
          <w:bCs/>
        </w:rPr>
      </w:pPr>
      <w:r>
        <w:rPr>
          <w:rFonts w:eastAsia="Calibri" w:cs="Calibri"/>
          <w:b/>
          <w:bCs/>
        </w:rPr>
        <w:br/>
      </w:r>
      <w:r w:rsidR="0004604A" w:rsidRPr="0009075F">
        <w:rPr>
          <w:rFonts w:eastAsia="Calibri" w:cs="Calibri"/>
          <w:b/>
          <w:bCs/>
        </w:rPr>
        <w:t>NOTA 1</w:t>
      </w:r>
      <w:r w:rsidR="0004604A">
        <w:rPr>
          <w:rFonts w:eastAsia="Calibri" w:cs="Calibri"/>
          <w:b/>
          <w:bCs/>
        </w:rPr>
        <w:t>7</w:t>
      </w:r>
      <w:r w:rsidR="0004604A" w:rsidRPr="0009075F">
        <w:rPr>
          <w:rFonts w:eastAsia="Calibri" w:cs="Calibri"/>
          <w:b/>
          <w:bCs/>
        </w:rPr>
        <w:t xml:space="preserve"> –</w:t>
      </w:r>
      <w:r w:rsidR="00FC75DA">
        <w:rPr>
          <w:rFonts w:eastAsia="Calibri" w:cs="Calibri"/>
          <w:b/>
          <w:bCs/>
        </w:rPr>
        <w:t xml:space="preserve"> USO DE BENS E SERVIÇOS E CONSUMO DE CAPITAL FIXO</w:t>
      </w:r>
    </w:p>
    <w:p w14:paraId="50AFDFA2" w14:textId="77777777" w:rsidR="002E5961" w:rsidRDefault="00622EC3" w:rsidP="000E72D1">
      <w:pPr>
        <w:spacing w:line="276" w:lineRule="auto"/>
        <w:jc w:val="both"/>
        <w:rPr>
          <w:rFonts w:eastAsia="Calibri" w:cs="Calibri"/>
        </w:rPr>
      </w:pPr>
      <w:r>
        <w:rPr>
          <w:rFonts w:eastAsia="Calibri" w:cs="Calibri"/>
        </w:rPr>
        <w:t xml:space="preserve">Em relação ao exercício de 2021, houve uma variação positiva de 62,05% em 2022, </w:t>
      </w:r>
      <w:r w:rsidR="008A4C7C">
        <w:rPr>
          <w:rFonts w:eastAsia="Calibri" w:cs="Calibri"/>
        </w:rPr>
        <w:t xml:space="preserve">justificado, principalmente pelo consumo de </w:t>
      </w:r>
      <w:r w:rsidR="000736D9">
        <w:rPr>
          <w:rFonts w:eastAsia="Calibri" w:cs="Calibri"/>
        </w:rPr>
        <w:t>materia</w:t>
      </w:r>
      <w:r w:rsidR="001A5AF8">
        <w:rPr>
          <w:rFonts w:eastAsia="Calibri" w:cs="Calibri"/>
        </w:rPr>
        <w:t>is</w:t>
      </w:r>
      <w:r w:rsidR="000736D9">
        <w:rPr>
          <w:rFonts w:eastAsia="Calibri" w:cs="Calibri"/>
        </w:rPr>
        <w:t xml:space="preserve"> de consumo</w:t>
      </w:r>
      <w:r w:rsidR="001A5AF8">
        <w:rPr>
          <w:rFonts w:eastAsia="Calibri" w:cs="Calibri"/>
        </w:rPr>
        <w:t xml:space="preserve"> e serviços relacionados</w:t>
      </w:r>
      <w:r w:rsidR="000736D9">
        <w:rPr>
          <w:rFonts w:eastAsia="Calibri" w:cs="Calibri"/>
        </w:rPr>
        <w:t xml:space="preserve"> com as </w:t>
      </w:r>
      <w:r w:rsidR="001A5AF8">
        <w:rPr>
          <w:rFonts w:eastAsia="Calibri" w:cs="Calibri"/>
        </w:rPr>
        <w:t>E</w:t>
      </w:r>
      <w:r w:rsidR="000736D9">
        <w:rPr>
          <w:rFonts w:eastAsia="Calibri" w:cs="Calibri"/>
        </w:rPr>
        <w:t xml:space="preserve">leições </w:t>
      </w:r>
      <w:r w:rsidR="001A5AF8">
        <w:rPr>
          <w:rFonts w:eastAsia="Calibri" w:cs="Calibri"/>
        </w:rPr>
        <w:t>G</w:t>
      </w:r>
      <w:r w:rsidR="000736D9">
        <w:rPr>
          <w:rFonts w:eastAsia="Calibri" w:cs="Calibri"/>
        </w:rPr>
        <w:t>erais de 2022</w:t>
      </w:r>
      <w:r w:rsidR="001A5AF8">
        <w:rPr>
          <w:rFonts w:eastAsia="Calibri" w:cs="Calibri"/>
        </w:rPr>
        <w:t>.</w:t>
      </w:r>
    </w:p>
    <w:p w14:paraId="6AFF3497" w14:textId="224C25BD" w:rsidR="00B007D4" w:rsidRDefault="002E5961" w:rsidP="000E72D1">
      <w:pPr>
        <w:spacing w:line="276" w:lineRule="auto"/>
        <w:jc w:val="both"/>
        <w:rPr>
          <w:rFonts w:eastAsia="Calibri" w:cs="Calibri"/>
        </w:rPr>
      </w:pPr>
      <w:r>
        <w:rPr>
          <w:rFonts w:eastAsia="Calibri" w:cs="Calibri"/>
        </w:rPr>
        <w:t xml:space="preserve">Em relação </w:t>
      </w:r>
      <w:r w:rsidR="007035B3">
        <w:rPr>
          <w:rFonts w:eastAsia="Calibri" w:cs="Calibri"/>
        </w:rPr>
        <w:t>às</w:t>
      </w:r>
      <w:r>
        <w:rPr>
          <w:rFonts w:eastAsia="Calibri" w:cs="Calibri"/>
        </w:rPr>
        <w:t xml:space="preserve"> prestações de serviços</w:t>
      </w:r>
      <w:r w:rsidR="00E93A60">
        <w:rPr>
          <w:rFonts w:eastAsia="Calibri" w:cs="Calibri"/>
        </w:rPr>
        <w:t xml:space="preserve">, além </w:t>
      </w:r>
      <w:r w:rsidR="008C236B">
        <w:rPr>
          <w:rFonts w:eastAsia="Calibri" w:cs="Calibri"/>
        </w:rPr>
        <w:t xml:space="preserve">dos serviços fornecidos na rotina deste TRE/ES, tais como: </w:t>
      </w:r>
      <w:r w:rsidR="00385883">
        <w:rPr>
          <w:rFonts w:eastAsia="Calibri" w:cs="Calibri"/>
        </w:rPr>
        <w:t>serviços técnicos profissionais, serviços administrativos, comunicação e outros</w:t>
      </w:r>
      <w:r w:rsidR="00FD394C">
        <w:rPr>
          <w:rFonts w:eastAsia="Calibri" w:cs="Calibri"/>
        </w:rPr>
        <w:t xml:space="preserve"> e</w:t>
      </w:r>
      <w:r w:rsidR="00385883">
        <w:rPr>
          <w:rFonts w:eastAsia="Calibri" w:cs="Calibri"/>
        </w:rPr>
        <w:t xml:space="preserve"> </w:t>
      </w:r>
      <w:r w:rsidR="00FD394C">
        <w:rPr>
          <w:rFonts w:eastAsia="Calibri" w:cs="Calibri"/>
        </w:rPr>
        <w:t xml:space="preserve">concessão de diárias aos servidores, a variação </w:t>
      </w:r>
      <w:r w:rsidR="00D86160">
        <w:rPr>
          <w:rFonts w:eastAsia="Calibri" w:cs="Calibri"/>
        </w:rPr>
        <w:t xml:space="preserve">positiva </w:t>
      </w:r>
      <w:r w:rsidR="00DC32F7">
        <w:rPr>
          <w:rFonts w:eastAsia="Calibri" w:cs="Calibri"/>
        </w:rPr>
        <w:t xml:space="preserve">decorreu, principalmente </w:t>
      </w:r>
      <w:r w:rsidR="00C64684">
        <w:rPr>
          <w:rFonts w:eastAsia="Calibri" w:cs="Calibri"/>
        </w:rPr>
        <w:t>de despesas visando o armazenamento e manutenção das urnas eletrônicas.</w:t>
      </w:r>
    </w:p>
    <w:p w14:paraId="1FC5F779" w14:textId="77777777" w:rsidR="000E72D1" w:rsidRPr="000E72D1" w:rsidRDefault="000E72D1" w:rsidP="000E72D1">
      <w:pPr>
        <w:spacing w:line="276" w:lineRule="auto"/>
        <w:jc w:val="both"/>
        <w:rPr>
          <w:rFonts w:eastAsia="Calibri" w:cs="Calibri"/>
        </w:rPr>
      </w:pPr>
    </w:p>
    <w:p w14:paraId="265DEE88" w14:textId="7DC38002" w:rsidR="00D32DC1" w:rsidRPr="0009075F" w:rsidRDefault="00D32DC1" w:rsidP="00D32DC1">
      <w:pPr>
        <w:jc w:val="both"/>
        <w:rPr>
          <w:rFonts w:eastAsia="Calibri" w:cs="Calibri"/>
          <w:b/>
          <w:bCs/>
        </w:rPr>
      </w:pPr>
      <w:r w:rsidRPr="0009075F">
        <w:rPr>
          <w:rFonts w:eastAsia="Calibri" w:cs="Calibri"/>
          <w:b/>
          <w:bCs/>
        </w:rPr>
        <w:t>NOTA 1</w:t>
      </w:r>
      <w:r w:rsidR="000E72D1">
        <w:rPr>
          <w:rFonts w:eastAsia="Calibri" w:cs="Calibri"/>
          <w:b/>
          <w:bCs/>
        </w:rPr>
        <w:t>8</w:t>
      </w:r>
      <w:r w:rsidRPr="0009075F">
        <w:rPr>
          <w:rFonts w:eastAsia="Calibri" w:cs="Calibri"/>
          <w:b/>
          <w:bCs/>
        </w:rPr>
        <w:t xml:space="preserve"> – </w:t>
      </w:r>
      <w:r w:rsidR="00FC75DA">
        <w:rPr>
          <w:rFonts w:eastAsia="Calibri" w:cs="Calibri"/>
          <w:b/>
          <w:bCs/>
        </w:rPr>
        <w:t>TRANSFERÊNCIAS E DELEGAÇÕES CONCEDIDAS</w:t>
      </w:r>
    </w:p>
    <w:p w14:paraId="0232FD5B" w14:textId="314C7D72" w:rsidR="008E2106" w:rsidRPr="00B80DA6" w:rsidRDefault="00B80DA6" w:rsidP="00570908">
      <w:pPr>
        <w:spacing w:line="276" w:lineRule="auto"/>
        <w:jc w:val="both"/>
        <w:rPr>
          <w:rFonts w:eastAsia="Calibri" w:cs="Calibri"/>
          <w:b/>
          <w:bCs/>
        </w:rPr>
      </w:pPr>
      <w:r>
        <w:rPr>
          <w:rFonts w:eastAsia="Calibri" w:cs="Calibri"/>
          <w:b/>
          <w:bCs/>
        </w:rPr>
        <w:br/>
      </w:r>
      <w:r w:rsidRPr="00B80DA6">
        <w:rPr>
          <w:rFonts w:eastAsia="Calibri" w:cs="Calibri"/>
          <w:b/>
          <w:bCs/>
        </w:rPr>
        <w:t>Transferências Intragovernamentais</w:t>
      </w:r>
    </w:p>
    <w:p w14:paraId="00C87C87" w14:textId="49021400" w:rsidR="00D32DC1" w:rsidRDefault="00FA0FC0" w:rsidP="00570908">
      <w:pPr>
        <w:spacing w:line="276" w:lineRule="auto"/>
        <w:jc w:val="both"/>
        <w:rPr>
          <w:rFonts w:eastAsia="Calibri" w:cs="Calibri"/>
        </w:rPr>
      </w:pPr>
      <w:r>
        <w:rPr>
          <w:rFonts w:eastAsia="Calibri" w:cs="Calibri"/>
        </w:rPr>
        <w:t>Essa conta compreende as transferências concedidas para execução orçamentária intragovernamenta</w:t>
      </w:r>
      <w:r w:rsidR="00640222">
        <w:rPr>
          <w:rFonts w:eastAsia="Calibri" w:cs="Calibri"/>
        </w:rPr>
        <w:t xml:space="preserve">is, bem como as transferências concedidas </w:t>
      </w:r>
      <w:r w:rsidR="003857B8">
        <w:rPr>
          <w:rFonts w:eastAsia="Calibri" w:cs="Calibri"/>
        </w:rPr>
        <w:t>independente da execução orçamentária, como: repasse concedido, doações concedidas de bens imóveis, transferências concedidas de bens imóveis</w:t>
      </w:r>
      <w:r w:rsidR="008E2106">
        <w:rPr>
          <w:rFonts w:eastAsia="Calibri" w:cs="Calibri"/>
        </w:rPr>
        <w:t xml:space="preserve"> e transferência de recursos concedidos.</w:t>
      </w:r>
    </w:p>
    <w:p w14:paraId="3A61EE8C" w14:textId="14AE7A64" w:rsidR="00FC1F7A" w:rsidRPr="00721BF2" w:rsidRDefault="00B80DA6" w:rsidP="00570908">
      <w:pPr>
        <w:spacing w:line="276" w:lineRule="auto"/>
        <w:jc w:val="both"/>
        <w:rPr>
          <w:rFonts w:eastAsia="Calibri" w:cs="Calibri"/>
        </w:rPr>
      </w:pPr>
      <w:r>
        <w:rPr>
          <w:rFonts w:eastAsia="Calibri" w:cs="Calibri"/>
        </w:rPr>
        <w:lastRenderedPageBreak/>
        <w:t>Essa conta apresentou variação positiva, em 2022, de 67,66% em relação ao exercício financeiro de 2021</w:t>
      </w:r>
      <w:r w:rsidR="004D438E">
        <w:rPr>
          <w:rFonts w:eastAsia="Calibri" w:cs="Calibri"/>
        </w:rPr>
        <w:t xml:space="preserve">, justificada, principalmente, </w:t>
      </w:r>
      <w:r w:rsidR="00721BF2">
        <w:rPr>
          <w:rFonts w:eastAsia="Calibri" w:cs="Calibri"/>
        </w:rPr>
        <w:t>pelas situações relatadas a seguir:</w:t>
      </w:r>
    </w:p>
    <w:p w14:paraId="2432A2C7" w14:textId="6E7DA071" w:rsidR="00721BF2" w:rsidRDefault="00721BF2" w:rsidP="001F3289">
      <w:pPr>
        <w:pStyle w:val="PargrafodaLista"/>
        <w:numPr>
          <w:ilvl w:val="0"/>
          <w:numId w:val="9"/>
        </w:numPr>
        <w:spacing w:line="276" w:lineRule="auto"/>
        <w:rPr>
          <w:rFonts w:eastAsia="Calibri" w:cs="Calibri"/>
        </w:rPr>
      </w:pPr>
      <w:r>
        <w:rPr>
          <w:rFonts w:eastAsia="Calibri" w:cs="Calibri"/>
        </w:rPr>
        <w:t>07/12/202: transferência de</w:t>
      </w:r>
      <w:r w:rsidR="00332DB0">
        <w:rPr>
          <w:rFonts w:eastAsia="Calibri" w:cs="Calibri"/>
        </w:rPr>
        <w:t xml:space="preserve"> recursos ao Instituto Federal do ES para execução do objeto o primeiro termo aditivo ao TEC 01/21 – Programa de Residência em TI, no valor de</w:t>
      </w:r>
      <w:r>
        <w:rPr>
          <w:rFonts w:eastAsia="Calibri" w:cs="Calibri"/>
        </w:rPr>
        <w:t xml:space="preserve"> R$ 390.022,79</w:t>
      </w:r>
      <w:r w:rsidR="007F2B40">
        <w:rPr>
          <w:rFonts w:eastAsia="Calibri" w:cs="Calibri"/>
        </w:rPr>
        <w:t>, contabilizado na conta 351120200 – Repasse Concedido;</w:t>
      </w:r>
      <w:r w:rsidR="00D35B73">
        <w:rPr>
          <w:rFonts w:eastAsia="Calibri" w:cs="Calibri"/>
        </w:rPr>
        <w:br/>
      </w:r>
    </w:p>
    <w:p w14:paraId="05210B7A" w14:textId="65505312" w:rsidR="007F2B40" w:rsidRPr="00721BF2" w:rsidRDefault="00B01627" w:rsidP="00721BF2">
      <w:pPr>
        <w:pStyle w:val="PargrafodaLista"/>
        <w:numPr>
          <w:ilvl w:val="0"/>
          <w:numId w:val="9"/>
        </w:numPr>
        <w:spacing w:line="276" w:lineRule="auto"/>
        <w:jc w:val="both"/>
        <w:rPr>
          <w:rFonts w:eastAsia="Calibri" w:cs="Calibri"/>
        </w:rPr>
      </w:pPr>
      <w:r>
        <w:rPr>
          <w:rFonts w:eastAsia="Calibri" w:cs="Calibri"/>
        </w:rPr>
        <w:t>T</w:t>
      </w:r>
      <w:r w:rsidR="009C53F8">
        <w:rPr>
          <w:rFonts w:eastAsia="Calibri" w:cs="Calibri"/>
        </w:rPr>
        <w:t>r</w:t>
      </w:r>
      <w:r w:rsidR="00887439">
        <w:rPr>
          <w:rFonts w:eastAsia="Calibri" w:cs="Calibri"/>
        </w:rPr>
        <w:t>oca de vinculação de pagamento da fonte 400 para 310 e 510, para possibilitar o pagamento de restos a pagar, no valor</w:t>
      </w:r>
      <w:r w:rsidR="003F599D">
        <w:rPr>
          <w:rFonts w:eastAsia="Calibri" w:cs="Calibri"/>
        </w:rPr>
        <w:t xml:space="preserve"> total de R$ 120.528,38, nos meses de fevereiro a julho/2022, conforme documentos</w:t>
      </w:r>
      <w:r w:rsidR="00887439">
        <w:rPr>
          <w:rFonts w:eastAsia="Calibri" w:cs="Calibri"/>
        </w:rPr>
        <w:t xml:space="preserve"> SIAFI 2022PF000007</w:t>
      </w:r>
      <w:r w:rsidR="003F599D">
        <w:rPr>
          <w:rFonts w:eastAsia="Calibri" w:cs="Calibri"/>
        </w:rPr>
        <w:t>,</w:t>
      </w:r>
      <w:r w:rsidR="009E1A3D">
        <w:rPr>
          <w:rFonts w:eastAsia="Calibri" w:cs="Calibri"/>
        </w:rPr>
        <w:t xml:space="preserve"> 2022PF000008, </w:t>
      </w:r>
      <w:r w:rsidR="000837AD">
        <w:rPr>
          <w:rFonts w:eastAsia="Calibri" w:cs="Calibri"/>
        </w:rPr>
        <w:t>2022PF000013)</w:t>
      </w:r>
      <w:r w:rsidR="003F599D">
        <w:rPr>
          <w:rFonts w:eastAsia="Calibri" w:cs="Calibri"/>
        </w:rPr>
        <w:t>,</w:t>
      </w:r>
      <w:r w:rsidR="000837AD">
        <w:rPr>
          <w:rFonts w:eastAsia="Calibri" w:cs="Calibri"/>
        </w:rPr>
        <w:t xml:space="preserve"> 2022PF000019)</w:t>
      </w:r>
      <w:r w:rsidR="003F599D">
        <w:rPr>
          <w:rFonts w:eastAsia="Calibri" w:cs="Calibri"/>
        </w:rPr>
        <w:t xml:space="preserve"> e</w:t>
      </w:r>
      <w:r w:rsidR="005154DE">
        <w:rPr>
          <w:rFonts w:eastAsia="Calibri" w:cs="Calibri"/>
        </w:rPr>
        <w:t xml:space="preserve"> 2022PF000027</w:t>
      </w:r>
      <w:r w:rsidR="007D00F4">
        <w:rPr>
          <w:rFonts w:eastAsia="Calibri" w:cs="Calibri"/>
        </w:rPr>
        <w:t>.</w:t>
      </w:r>
    </w:p>
    <w:p w14:paraId="455E07B9" w14:textId="77777777" w:rsidR="0004604A" w:rsidRPr="0009075F" w:rsidRDefault="0004604A" w:rsidP="00132046">
      <w:pPr>
        <w:jc w:val="both"/>
        <w:rPr>
          <w:rFonts w:eastAsia="Calibri" w:cs="Calibri"/>
          <w:b/>
          <w:bCs/>
        </w:rPr>
      </w:pPr>
    </w:p>
    <w:p w14:paraId="1ABA548C" w14:textId="34DE64A5" w:rsidR="00531D9A" w:rsidRPr="0009075F" w:rsidRDefault="00531D9A" w:rsidP="00531D9A">
      <w:pPr>
        <w:jc w:val="both"/>
        <w:rPr>
          <w:rFonts w:eastAsia="Calibri" w:cs="Calibri"/>
          <w:b/>
          <w:bCs/>
        </w:rPr>
      </w:pPr>
      <w:r w:rsidRPr="0009075F">
        <w:rPr>
          <w:rFonts w:eastAsia="Calibri" w:cs="Calibri"/>
          <w:b/>
          <w:bCs/>
        </w:rPr>
        <w:t>NOTA 1</w:t>
      </w:r>
      <w:r>
        <w:rPr>
          <w:rFonts w:eastAsia="Calibri" w:cs="Calibri"/>
          <w:b/>
          <w:bCs/>
        </w:rPr>
        <w:t>9</w:t>
      </w:r>
      <w:r w:rsidRPr="0009075F">
        <w:rPr>
          <w:rFonts w:eastAsia="Calibri" w:cs="Calibri"/>
          <w:b/>
          <w:bCs/>
        </w:rPr>
        <w:t xml:space="preserve"> – </w:t>
      </w:r>
      <w:r>
        <w:rPr>
          <w:rFonts w:eastAsia="Calibri" w:cs="Calibri"/>
          <w:b/>
          <w:bCs/>
        </w:rPr>
        <w:t>DESVALORIZAÇÃO E PERDA DE ATIVOS E INCORPORAÇÃO DE PASSIVOS</w:t>
      </w:r>
    </w:p>
    <w:p w14:paraId="52F5E591" w14:textId="7F0D82F1" w:rsidR="00D3403F" w:rsidRDefault="00132E23">
      <w:pPr>
        <w:jc w:val="both"/>
        <w:rPr>
          <w:rFonts w:eastAsia="Calibri" w:cs="Calibri"/>
          <w:b/>
          <w:bCs/>
        </w:rPr>
      </w:pPr>
      <w:r>
        <w:rPr>
          <w:rFonts w:eastAsia="Calibri" w:cs="Calibri"/>
          <w:b/>
          <w:bCs/>
        </w:rPr>
        <w:br/>
      </w:r>
      <w:r w:rsidR="00B40747">
        <w:rPr>
          <w:rFonts w:eastAsia="Calibri" w:cs="Calibri"/>
          <w:b/>
          <w:bCs/>
        </w:rPr>
        <w:t>Desincorporação de Ativos</w:t>
      </w:r>
    </w:p>
    <w:p w14:paraId="6DCE8494" w14:textId="77777777" w:rsidR="00132E23" w:rsidRDefault="00EE65A9" w:rsidP="00132E23">
      <w:pPr>
        <w:spacing w:line="276" w:lineRule="auto"/>
        <w:jc w:val="both"/>
        <w:rPr>
          <w:rFonts w:eastAsia="Calibri" w:cs="Calibri"/>
        </w:rPr>
      </w:pPr>
      <w:r>
        <w:rPr>
          <w:rFonts w:eastAsia="Calibri" w:cs="Calibri"/>
        </w:rPr>
        <w:t xml:space="preserve">Registra-se, nesta conta, </w:t>
      </w:r>
      <w:r w:rsidR="00FC5361">
        <w:rPr>
          <w:rFonts w:eastAsia="Calibri" w:cs="Calibri"/>
        </w:rPr>
        <w:t>valores decorrentes de desvalorização e baixa de ativos, como: desincorporação de ativos inservíveis ou outros eventos e ajustes de comprovação de devolução de valores ou perdas de ativos.</w:t>
      </w:r>
      <w:r w:rsidR="00132E23">
        <w:rPr>
          <w:rFonts w:eastAsia="Calibri" w:cs="Calibri"/>
        </w:rPr>
        <w:t xml:space="preserve"> O saldo de R$ 11.436,34 apresentado no final do exercício de 2022, na conta “Desincorporação de Ativos”, refere-se </w:t>
      </w:r>
      <w:proofErr w:type="gramStart"/>
      <w:r w:rsidR="00132E23">
        <w:rPr>
          <w:rFonts w:eastAsia="Calibri" w:cs="Calibri"/>
        </w:rPr>
        <w:t>a</w:t>
      </w:r>
      <w:proofErr w:type="gramEnd"/>
      <w:r w:rsidR="00132E23">
        <w:rPr>
          <w:rFonts w:eastAsia="Calibri" w:cs="Calibri"/>
        </w:rPr>
        <w:t xml:space="preserve"> inscrição em dívida ativa decorrente de multas contratuais aplicadas pelo TRE/ES.</w:t>
      </w:r>
    </w:p>
    <w:p w14:paraId="5842E86B" w14:textId="77777777" w:rsidR="00D633B7" w:rsidRDefault="00D633B7" w:rsidP="00132E23">
      <w:pPr>
        <w:spacing w:line="276" w:lineRule="auto"/>
        <w:jc w:val="both"/>
        <w:rPr>
          <w:rFonts w:eastAsia="Calibri" w:cs="Calibri"/>
        </w:rPr>
      </w:pPr>
    </w:p>
    <w:p w14:paraId="4B248658" w14:textId="19537D33" w:rsidR="00D633B7" w:rsidRPr="0009075F" w:rsidRDefault="00D633B7" w:rsidP="00D633B7">
      <w:pPr>
        <w:jc w:val="both"/>
        <w:rPr>
          <w:rFonts w:eastAsia="Calibri" w:cs="Calibri"/>
          <w:b/>
          <w:bCs/>
        </w:rPr>
      </w:pPr>
      <w:r w:rsidRPr="0009075F">
        <w:rPr>
          <w:rFonts w:eastAsia="Calibri" w:cs="Calibri"/>
          <w:b/>
          <w:bCs/>
        </w:rPr>
        <w:t xml:space="preserve">NOTA </w:t>
      </w:r>
      <w:r>
        <w:rPr>
          <w:rFonts w:eastAsia="Calibri" w:cs="Calibri"/>
          <w:b/>
          <w:bCs/>
        </w:rPr>
        <w:t>20</w:t>
      </w:r>
      <w:r w:rsidRPr="0009075F">
        <w:rPr>
          <w:rFonts w:eastAsia="Calibri" w:cs="Calibri"/>
          <w:b/>
          <w:bCs/>
        </w:rPr>
        <w:t xml:space="preserve"> – </w:t>
      </w:r>
      <w:r>
        <w:rPr>
          <w:rFonts w:eastAsia="Calibri" w:cs="Calibri"/>
          <w:b/>
          <w:bCs/>
        </w:rPr>
        <w:t>OUTRAS VARIAÇÕES PATRIMONIAIS DIMINUTIVAS - Diversas</w:t>
      </w:r>
    </w:p>
    <w:p w14:paraId="2F1D7B82" w14:textId="207C0DD1" w:rsidR="00132E23" w:rsidRDefault="00D633B7" w:rsidP="00132E23">
      <w:pPr>
        <w:spacing w:line="276" w:lineRule="auto"/>
        <w:jc w:val="both"/>
        <w:rPr>
          <w:rFonts w:eastAsia="Calibri" w:cs="Calibri"/>
        </w:rPr>
      </w:pPr>
      <w:r>
        <w:rPr>
          <w:rFonts w:eastAsia="Calibri" w:cs="Calibri"/>
        </w:rPr>
        <w:t>E</w:t>
      </w:r>
      <w:r w:rsidR="00132E23">
        <w:rPr>
          <w:rFonts w:eastAsia="Calibri" w:cs="Calibri"/>
        </w:rPr>
        <w:t>m relação ao saldo de R$ 53.400,44, constante da conta “Diversas Variações Patrimoniais Diminutivas”, deve-se, principalmente, aos ressarcimentos de passagem rodoviária aos servidores que se deslocaram para exercerem atividades decorrentes das Eleições Gerais 2022.</w:t>
      </w:r>
    </w:p>
    <w:p w14:paraId="6F4AAFA0" w14:textId="77777777" w:rsidR="00B40747" w:rsidRDefault="00B40747">
      <w:pPr>
        <w:jc w:val="both"/>
        <w:rPr>
          <w:rFonts w:eastAsia="Calibri" w:cs="Calibri"/>
          <w:b/>
          <w:bCs/>
        </w:rPr>
      </w:pPr>
    </w:p>
    <w:p w14:paraId="03B3E77C" w14:textId="0B8D93A7" w:rsidR="00DD091E" w:rsidRDefault="00FF700D" w:rsidP="00BC1DAF">
      <w:pPr>
        <w:spacing w:line="276" w:lineRule="auto"/>
        <w:jc w:val="both"/>
        <w:rPr>
          <w:rFonts w:eastAsia="Calibri" w:cs="Calibri"/>
          <w:b/>
          <w:bCs/>
        </w:rPr>
      </w:pPr>
      <w:r>
        <w:rPr>
          <w:rFonts w:eastAsia="Calibri" w:cs="Calibri"/>
          <w:b/>
          <w:bCs/>
        </w:rPr>
        <w:t>2.3</w:t>
      </w:r>
      <w:r w:rsidR="00DD091E">
        <w:rPr>
          <w:b/>
          <w:bCs/>
        </w:rPr>
        <w:tab/>
      </w:r>
      <w:r w:rsidR="00DD091E">
        <w:rPr>
          <w:rFonts w:eastAsia="Calibri" w:cs="Calibri"/>
          <w:b/>
          <w:bCs/>
        </w:rPr>
        <w:t>BALANÇO ORÇAMENTÁRIO</w:t>
      </w:r>
    </w:p>
    <w:p w14:paraId="712457D6" w14:textId="7AA55238" w:rsidR="00AB389F" w:rsidRPr="00AB389F" w:rsidRDefault="00BD6F8A" w:rsidP="00BC1DAF">
      <w:pPr>
        <w:spacing w:line="276" w:lineRule="auto"/>
        <w:jc w:val="both"/>
        <w:rPr>
          <w:rFonts w:eastAsia="Calibri" w:cs="Calibri"/>
          <w:b/>
          <w:bCs/>
        </w:rPr>
      </w:pPr>
      <w:r>
        <w:rPr>
          <w:rFonts w:eastAsia="Calibri" w:cs="Calibri"/>
          <w:b/>
          <w:bCs/>
        </w:rPr>
        <w:br/>
      </w:r>
      <w:r w:rsidR="00AB389F" w:rsidRPr="000B6C41">
        <w:rPr>
          <w:rFonts w:eastAsia="Calibri" w:cs="Calibri"/>
          <w:b/>
          <w:bCs/>
        </w:rPr>
        <w:t xml:space="preserve">NOTA </w:t>
      </w:r>
      <w:r w:rsidR="000B6C41" w:rsidRPr="000B6C41">
        <w:rPr>
          <w:rFonts w:eastAsia="Calibri" w:cs="Calibri"/>
          <w:b/>
          <w:bCs/>
        </w:rPr>
        <w:t>2</w:t>
      </w:r>
      <w:r w:rsidR="001F3289">
        <w:rPr>
          <w:rFonts w:eastAsia="Calibri" w:cs="Calibri"/>
          <w:b/>
          <w:bCs/>
        </w:rPr>
        <w:t>1</w:t>
      </w:r>
      <w:r w:rsidR="00AB389F" w:rsidRPr="000B6C41">
        <w:rPr>
          <w:rFonts w:eastAsia="Calibri" w:cs="Calibri"/>
          <w:b/>
          <w:bCs/>
        </w:rPr>
        <w:t xml:space="preserve"> - </w:t>
      </w:r>
      <w:r w:rsidR="00A417A0">
        <w:rPr>
          <w:rFonts w:eastAsia="Calibri" w:cs="Calibri"/>
          <w:b/>
          <w:bCs/>
        </w:rPr>
        <w:t>DESPESAS</w:t>
      </w:r>
      <w:r w:rsidR="00716C2D" w:rsidRPr="00AB389F">
        <w:rPr>
          <w:rFonts w:eastAsia="Calibri" w:cs="Calibri"/>
          <w:b/>
          <w:bCs/>
        </w:rPr>
        <w:t xml:space="preserve"> </w:t>
      </w:r>
    </w:p>
    <w:p w14:paraId="54A8A369" w14:textId="0A112FD0" w:rsidR="00F65091" w:rsidRDefault="00716C2D" w:rsidP="00BC1DAF">
      <w:pPr>
        <w:spacing w:line="276" w:lineRule="auto"/>
        <w:jc w:val="both"/>
        <w:rPr>
          <w:rFonts w:ascii="Calibri" w:eastAsia="Calibri" w:hAnsi="Calibri" w:cs="Calibri"/>
        </w:rPr>
      </w:pPr>
      <w:r>
        <w:rPr>
          <w:rFonts w:eastAsia="Calibri" w:cs="Calibri"/>
        </w:rPr>
        <w:t xml:space="preserve">Demonstra a diferença entre as receitas realizadas e as despesas empenhadas com finalidade de verificar o equilíbrio do Balanço Orçamentário. As despesas do TRE-ES são custeadas pelas dotações orçamentárias aprovadas na Lei Orçamentária Anual, cujas fontes de recursos (receitas) são disponibilizadas/indicadas pelo Tesouro Nacional. </w:t>
      </w:r>
    </w:p>
    <w:p w14:paraId="299BCBFC" w14:textId="6A2D2B20" w:rsidR="003513F9" w:rsidRDefault="003F0F6B" w:rsidP="001F5AAF">
      <w:pPr>
        <w:spacing w:line="276" w:lineRule="auto"/>
        <w:jc w:val="both"/>
        <w:rPr>
          <w:rFonts w:eastAsia="Calibri" w:cs="Calibri"/>
        </w:rPr>
      </w:pPr>
      <w:r>
        <w:rPr>
          <w:rFonts w:eastAsia="Calibri" w:cs="Calibri"/>
        </w:rPr>
        <w:t>Quanto a</w:t>
      </w:r>
      <w:r w:rsidR="001348DA">
        <w:rPr>
          <w:rFonts w:eastAsia="Calibri" w:cs="Calibri"/>
        </w:rPr>
        <w:t xml:space="preserve"> execução do grupo </w:t>
      </w:r>
      <w:r w:rsidR="00073F9E">
        <w:rPr>
          <w:rFonts w:eastAsia="Calibri" w:cs="Calibri"/>
        </w:rPr>
        <w:t>“</w:t>
      </w:r>
      <w:r w:rsidR="001348DA">
        <w:rPr>
          <w:rFonts w:eastAsia="Calibri" w:cs="Calibri"/>
        </w:rPr>
        <w:t xml:space="preserve">Despesas </w:t>
      </w:r>
      <w:proofErr w:type="spellStart"/>
      <w:r w:rsidR="001348DA">
        <w:rPr>
          <w:rFonts w:eastAsia="Calibri" w:cs="Calibri"/>
        </w:rPr>
        <w:t>Corrrentes</w:t>
      </w:r>
      <w:proofErr w:type="spellEnd"/>
      <w:r w:rsidR="00073F9E">
        <w:rPr>
          <w:rFonts w:eastAsia="Calibri" w:cs="Calibri"/>
        </w:rPr>
        <w:t>”</w:t>
      </w:r>
      <w:r w:rsidR="0002719F">
        <w:rPr>
          <w:rFonts w:eastAsia="Calibri" w:cs="Calibri"/>
        </w:rPr>
        <w:t xml:space="preserve">, </w:t>
      </w:r>
      <w:r>
        <w:rPr>
          <w:rFonts w:eastAsia="Calibri" w:cs="Calibri"/>
        </w:rPr>
        <w:t>o valor</w:t>
      </w:r>
      <w:r w:rsidR="0002719F">
        <w:rPr>
          <w:rFonts w:eastAsia="Calibri" w:cs="Calibri"/>
        </w:rPr>
        <w:t xml:space="preserve"> </w:t>
      </w:r>
      <w:r>
        <w:rPr>
          <w:rFonts w:eastAsia="Calibri" w:cs="Calibri"/>
        </w:rPr>
        <w:t xml:space="preserve">total </w:t>
      </w:r>
      <w:r w:rsidR="0002719F">
        <w:rPr>
          <w:rFonts w:eastAsia="Calibri" w:cs="Calibri"/>
        </w:rPr>
        <w:t>empenhad</w:t>
      </w:r>
      <w:r>
        <w:rPr>
          <w:rFonts w:eastAsia="Calibri" w:cs="Calibri"/>
        </w:rPr>
        <w:t>o no final do exercício de 2022 foi de</w:t>
      </w:r>
      <w:r w:rsidR="0002719F">
        <w:rPr>
          <w:rFonts w:eastAsia="Calibri" w:cs="Calibri"/>
        </w:rPr>
        <w:t xml:space="preserve"> </w:t>
      </w:r>
      <w:r w:rsidR="008055E4">
        <w:rPr>
          <w:rFonts w:eastAsia="Calibri" w:cs="Calibri"/>
        </w:rPr>
        <w:t xml:space="preserve">R$ </w:t>
      </w:r>
      <w:r w:rsidR="007A073E">
        <w:rPr>
          <w:rFonts w:eastAsia="Calibri" w:cs="Calibri"/>
        </w:rPr>
        <w:t>158.839.645,91</w:t>
      </w:r>
      <w:r>
        <w:rPr>
          <w:rFonts w:eastAsia="Calibri" w:cs="Calibri"/>
        </w:rPr>
        <w:t>,</w:t>
      </w:r>
      <w:r w:rsidR="008055E4">
        <w:rPr>
          <w:rFonts w:eastAsia="Calibri" w:cs="Calibri"/>
        </w:rPr>
        <w:t xml:space="preserve"> </w:t>
      </w:r>
      <w:r>
        <w:rPr>
          <w:rFonts w:eastAsia="Calibri" w:cs="Calibri"/>
        </w:rPr>
        <w:t>ou seja,</w:t>
      </w:r>
      <w:r w:rsidR="00580CE6">
        <w:rPr>
          <w:rFonts w:eastAsia="Calibri" w:cs="Calibri"/>
        </w:rPr>
        <w:t xml:space="preserve"> </w:t>
      </w:r>
      <w:r w:rsidR="00EF562F">
        <w:rPr>
          <w:rFonts w:eastAsia="Calibri" w:cs="Calibri"/>
        </w:rPr>
        <w:t>9</w:t>
      </w:r>
      <w:r w:rsidR="00EF1D07">
        <w:rPr>
          <w:rFonts w:eastAsia="Calibri" w:cs="Calibri"/>
        </w:rPr>
        <w:t>,0</w:t>
      </w:r>
      <w:r w:rsidR="00896494">
        <w:rPr>
          <w:rFonts w:eastAsia="Calibri" w:cs="Calibri"/>
        </w:rPr>
        <w:t>2</w:t>
      </w:r>
      <w:r w:rsidR="007A7409">
        <w:rPr>
          <w:rFonts w:eastAsia="Calibri" w:cs="Calibri"/>
        </w:rPr>
        <w:t>% a ma</w:t>
      </w:r>
      <w:r>
        <w:rPr>
          <w:rFonts w:eastAsia="Calibri" w:cs="Calibri"/>
        </w:rPr>
        <w:t>ior</w:t>
      </w:r>
      <w:r w:rsidR="007A7409">
        <w:rPr>
          <w:rFonts w:eastAsia="Calibri" w:cs="Calibri"/>
        </w:rPr>
        <w:t xml:space="preserve"> que </w:t>
      </w:r>
      <w:r>
        <w:rPr>
          <w:rFonts w:eastAsia="Calibri" w:cs="Calibri"/>
        </w:rPr>
        <w:t>o total da</w:t>
      </w:r>
      <w:r w:rsidR="007A7409">
        <w:rPr>
          <w:rFonts w:eastAsia="Calibri" w:cs="Calibri"/>
        </w:rPr>
        <w:t xml:space="preserve"> despesa atualizada </w:t>
      </w:r>
      <w:r w:rsidR="00AB4950">
        <w:rPr>
          <w:rFonts w:eastAsia="Calibri" w:cs="Calibri"/>
        </w:rPr>
        <w:t xml:space="preserve">de </w:t>
      </w:r>
      <w:r w:rsidR="007A073E">
        <w:rPr>
          <w:rFonts w:eastAsia="Calibri" w:cs="Calibri"/>
        </w:rPr>
        <w:t>145.692.125,00</w:t>
      </w:r>
      <w:r w:rsidR="008055E4">
        <w:rPr>
          <w:rFonts w:eastAsia="Calibri" w:cs="Calibri"/>
        </w:rPr>
        <w:t xml:space="preserve">. Essa execução a maior que </w:t>
      </w:r>
      <w:r w:rsidR="00841719">
        <w:rPr>
          <w:rFonts w:eastAsia="Calibri" w:cs="Calibri"/>
        </w:rPr>
        <w:t xml:space="preserve">o orçamento </w:t>
      </w:r>
      <w:r w:rsidR="00EB4911">
        <w:rPr>
          <w:rFonts w:eastAsia="Calibri" w:cs="Calibri"/>
        </w:rPr>
        <w:t>do</w:t>
      </w:r>
      <w:r w:rsidR="00841719">
        <w:rPr>
          <w:rFonts w:eastAsia="Calibri" w:cs="Calibri"/>
        </w:rPr>
        <w:t xml:space="preserve"> TRE/ES se deve ao valor do orçamento destinado às </w:t>
      </w:r>
      <w:r w:rsidR="004414E2">
        <w:rPr>
          <w:rFonts w:eastAsia="Calibri" w:cs="Calibri"/>
        </w:rPr>
        <w:t xml:space="preserve">Eleições Gerais de 2022, que são executados </w:t>
      </w:r>
      <w:r w:rsidR="00723976">
        <w:rPr>
          <w:rFonts w:eastAsia="Calibri" w:cs="Calibri"/>
        </w:rPr>
        <w:t>por meio d</w:t>
      </w:r>
      <w:r w:rsidR="004414E2">
        <w:rPr>
          <w:rFonts w:eastAsia="Calibri" w:cs="Calibri"/>
        </w:rPr>
        <w:t>o orçamento do TSE</w:t>
      </w:r>
      <w:r w:rsidR="00EE2FE4">
        <w:rPr>
          <w:rFonts w:eastAsia="Calibri" w:cs="Calibri"/>
        </w:rPr>
        <w:t xml:space="preserve"> (</w:t>
      </w:r>
      <w:r w:rsidR="00431EBF">
        <w:rPr>
          <w:rFonts w:eastAsia="Calibri" w:cs="Calibri"/>
        </w:rPr>
        <w:t xml:space="preserve">UO - </w:t>
      </w:r>
      <w:r w:rsidR="00723976">
        <w:rPr>
          <w:rFonts w:eastAsia="Calibri" w:cs="Calibri"/>
        </w:rPr>
        <w:t xml:space="preserve">Unidade Orçamentária </w:t>
      </w:r>
      <w:r w:rsidR="00431EBF">
        <w:rPr>
          <w:rFonts w:eastAsia="Calibri" w:cs="Calibri"/>
        </w:rPr>
        <w:t>14001</w:t>
      </w:r>
      <w:r w:rsidR="00486AF0">
        <w:rPr>
          <w:rFonts w:eastAsia="Calibri" w:cs="Calibri"/>
        </w:rPr>
        <w:t>).</w:t>
      </w:r>
      <w:r w:rsidR="0005026B">
        <w:rPr>
          <w:rFonts w:eastAsia="Calibri" w:cs="Calibri"/>
        </w:rPr>
        <w:t xml:space="preserve"> </w:t>
      </w:r>
      <w:r w:rsidR="003513F9">
        <w:rPr>
          <w:rFonts w:eastAsia="Calibri" w:cs="Calibri"/>
        </w:rPr>
        <w:t xml:space="preserve">Em relação as “Despesas de Capital”, </w:t>
      </w:r>
      <w:r w:rsidR="00316290">
        <w:rPr>
          <w:rFonts w:eastAsia="Calibri" w:cs="Calibri"/>
        </w:rPr>
        <w:t xml:space="preserve">a execução </w:t>
      </w:r>
      <w:r w:rsidR="000A552F">
        <w:rPr>
          <w:rFonts w:eastAsia="Calibri" w:cs="Calibri"/>
        </w:rPr>
        <w:t xml:space="preserve">da conta “Investimentos” </w:t>
      </w:r>
      <w:r w:rsidR="00316290">
        <w:rPr>
          <w:rFonts w:eastAsia="Calibri" w:cs="Calibri"/>
        </w:rPr>
        <w:t>atingiu 93,56%</w:t>
      </w:r>
      <w:r w:rsidR="009A435B">
        <w:rPr>
          <w:rFonts w:eastAsia="Calibri" w:cs="Calibri"/>
        </w:rPr>
        <w:t xml:space="preserve"> do orçamento atualizado.</w:t>
      </w:r>
    </w:p>
    <w:p w14:paraId="6491D11A" w14:textId="77777777" w:rsidR="00F65091" w:rsidRDefault="00F65091" w:rsidP="001F5AAF">
      <w:pPr>
        <w:spacing w:line="276" w:lineRule="auto"/>
        <w:jc w:val="both"/>
        <w:rPr>
          <w:rFonts w:ascii="Calibri" w:eastAsia="Calibri" w:hAnsi="Calibri" w:cs="Calibri"/>
        </w:rPr>
      </w:pPr>
    </w:p>
    <w:p w14:paraId="01FB5F67" w14:textId="77777777" w:rsidR="0065486A" w:rsidRDefault="0065486A" w:rsidP="001F5AAF">
      <w:pPr>
        <w:spacing w:line="276" w:lineRule="auto"/>
        <w:jc w:val="both"/>
        <w:rPr>
          <w:rFonts w:ascii="Calibri" w:eastAsia="Calibri" w:hAnsi="Calibri" w:cs="Calibri"/>
        </w:rPr>
      </w:pPr>
    </w:p>
    <w:p w14:paraId="56DD7066" w14:textId="499F7355" w:rsidR="00B351F8" w:rsidRPr="004850F9" w:rsidRDefault="00B351F8" w:rsidP="001F5AAF">
      <w:pPr>
        <w:spacing w:line="276" w:lineRule="auto"/>
        <w:jc w:val="both"/>
        <w:rPr>
          <w:rFonts w:eastAsia="Calibri" w:cs="Calibri"/>
          <w:b/>
          <w:bCs/>
        </w:rPr>
      </w:pPr>
      <w:r w:rsidRPr="004850F9">
        <w:rPr>
          <w:rFonts w:eastAsia="Calibri" w:cs="Calibri"/>
          <w:b/>
          <w:bCs/>
        </w:rPr>
        <w:lastRenderedPageBreak/>
        <w:t xml:space="preserve">NOTA </w:t>
      </w:r>
      <w:r w:rsidR="00EE2FE4" w:rsidRPr="004850F9">
        <w:rPr>
          <w:rFonts w:eastAsia="Calibri" w:cs="Calibri"/>
          <w:b/>
          <w:bCs/>
        </w:rPr>
        <w:t>2</w:t>
      </w:r>
      <w:r w:rsidR="001F3289" w:rsidRPr="004850F9">
        <w:rPr>
          <w:rFonts w:eastAsia="Calibri" w:cs="Calibri"/>
          <w:b/>
          <w:bCs/>
        </w:rPr>
        <w:t>2</w:t>
      </w:r>
      <w:r w:rsidR="004850F9" w:rsidRPr="004850F9">
        <w:rPr>
          <w:rFonts w:eastAsia="Calibri" w:cs="Calibri"/>
          <w:b/>
          <w:bCs/>
        </w:rPr>
        <w:t xml:space="preserve"> </w:t>
      </w:r>
      <w:r w:rsidR="00EE2FE4" w:rsidRPr="004850F9">
        <w:rPr>
          <w:rFonts w:eastAsia="Calibri" w:cs="Calibri"/>
          <w:b/>
          <w:bCs/>
        </w:rPr>
        <w:t>-</w:t>
      </w:r>
      <w:r w:rsidR="00716C2D" w:rsidRPr="004850F9">
        <w:rPr>
          <w:rFonts w:eastAsia="Calibri" w:cs="Calibri"/>
          <w:b/>
          <w:bCs/>
        </w:rPr>
        <w:t xml:space="preserve"> RESTOS A PAGAR </w:t>
      </w:r>
    </w:p>
    <w:p w14:paraId="65BC35D2" w14:textId="72C5635F" w:rsidR="00A32FD9" w:rsidRDefault="00716C2D" w:rsidP="001F5AAF">
      <w:pPr>
        <w:spacing w:line="276" w:lineRule="auto"/>
        <w:jc w:val="both"/>
        <w:rPr>
          <w:rFonts w:eastAsia="Calibri" w:cs="Calibri"/>
        </w:rPr>
      </w:pPr>
      <w:r>
        <w:rPr>
          <w:rFonts w:eastAsia="Calibri" w:cs="Calibri"/>
        </w:rPr>
        <w:t>Do montante</w:t>
      </w:r>
      <w:r w:rsidR="00586722">
        <w:rPr>
          <w:rFonts w:eastAsia="Calibri" w:cs="Calibri"/>
        </w:rPr>
        <w:t xml:space="preserve"> de R$ 6.271.498,60, </w:t>
      </w:r>
      <w:r>
        <w:rPr>
          <w:rFonts w:eastAsia="Calibri" w:cs="Calibri"/>
        </w:rPr>
        <w:t xml:space="preserve">inscrito em </w:t>
      </w:r>
      <w:r w:rsidR="00463894">
        <w:rPr>
          <w:rFonts w:eastAsia="Calibri" w:cs="Calibri"/>
        </w:rPr>
        <w:t>“</w:t>
      </w:r>
      <w:r>
        <w:rPr>
          <w:rFonts w:eastAsia="Calibri" w:cs="Calibri"/>
        </w:rPr>
        <w:t>Restos a Pagar não Processados</w:t>
      </w:r>
      <w:r w:rsidR="00463894">
        <w:rPr>
          <w:rFonts w:eastAsia="Calibri" w:cs="Calibri"/>
        </w:rPr>
        <w:t xml:space="preserve"> </w:t>
      </w:r>
      <w:r w:rsidR="00586722">
        <w:rPr>
          <w:rFonts w:eastAsia="Calibri" w:cs="Calibri"/>
        </w:rPr>
        <w:t>–</w:t>
      </w:r>
      <w:r w:rsidR="00463894">
        <w:rPr>
          <w:rFonts w:eastAsia="Calibri" w:cs="Calibri"/>
        </w:rPr>
        <w:t xml:space="preserve"> RPNP</w:t>
      </w:r>
      <w:r w:rsidR="00586722">
        <w:rPr>
          <w:rFonts w:eastAsia="Calibri" w:cs="Calibri"/>
        </w:rPr>
        <w:t>”,</w:t>
      </w:r>
      <w:r>
        <w:rPr>
          <w:rFonts w:eastAsia="Calibri" w:cs="Calibri"/>
        </w:rPr>
        <w:t xml:space="preserve"> observa-se que </w:t>
      </w:r>
      <w:r w:rsidR="005A0AC6">
        <w:rPr>
          <w:rFonts w:eastAsia="Calibri" w:cs="Calibri"/>
        </w:rPr>
        <w:t>o valor de</w:t>
      </w:r>
      <w:r w:rsidR="00993C1C">
        <w:rPr>
          <w:rFonts w:eastAsia="Calibri" w:cs="Calibri"/>
        </w:rPr>
        <w:t xml:space="preserve"> R$ 1.546.320,87, </w:t>
      </w:r>
      <w:r w:rsidR="00E77187">
        <w:rPr>
          <w:rFonts w:eastAsia="Calibri" w:cs="Calibri"/>
        </w:rPr>
        <w:t xml:space="preserve">inscritos </w:t>
      </w:r>
      <w:r w:rsidR="00FA0673">
        <w:rPr>
          <w:rFonts w:eastAsia="Calibri" w:cs="Calibri"/>
        </w:rPr>
        <w:t>no grupo</w:t>
      </w:r>
      <w:r w:rsidR="00E77187">
        <w:rPr>
          <w:rFonts w:eastAsia="Calibri" w:cs="Calibri"/>
        </w:rPr>
        <w:t xml:space="preserve"> de “Pessoal e Encargos Sociais”</w:t>
      </w:r>
      <w:r w:rsidR="00993C1C">
        <w:rPr>
          <w:rFonts w:eastAsia="Calibri" w:cs="Calibri"/>
        </w:rPr>
        <w:t xml:space="preserve"> referentes às despesas anteriores </w:t>
      </w:r>
      <w:r w:rsidR="00A32FD9">
        <w:rPr>
          <w:rFonts w:eastAsia="Calibri" w:cs="Calibri"/>
        </w:rPr>
        <w:t xml:space="preserve">à 2021, </w:t>
      </w:r>
      <w:r w:rsidR="001B0144">
        <w:rPr>
          <w:rFonts w:eastAsia="Calibri" w:cs="Calibri"/>
        </w:rPr>
        <w:t xml:space="preserve">foi, </w:t>
      </w:r>
      <w:r w:rsidR="00A32FD9">
        <w:rPr>
          <w:rFonts w:eastAsia="Calibri" w:cs="Calibri"/>
        </w:rPr>
        <w:t>quase na sua integralidade</w:t>
      </w:r>
      <w:r w:rsidR="001B0144">
        <w:rPr>
          <w:rFonts w:eastAsia="Calibri" w:cs="Calibri"/>
        </w:rPr>
        <w:t>, cancelad</w:t>
      </w:r>
      <w:r w:rsidR="0067724B">
        <w:rPr>
          <w:rFonts w:eastAsia="Calibri" w:cs="Calibri"/>
        </w:rPr>
        <w:t>a</w:t>
      </w:r>
      <w:r w:rsidR="001B0144">
        <w:rPr>
          <w:rFonts w:eastAsia="Calibri" w:cs="Calibri"/>
        </w:rPr>
        <w:t xml:space="preserve"> em 2022</w:t>
      </w:r>
      <w:r w:rsidR="00A32FD9">
        <w:rPr>
          <w:rFonts w:eastAsia="Calibri" w:cs="Calibri"/>
        </w:rPr>
        <w:t>.</w:t>
      </w:r>
    </w:p>
    <w:p w14:paraId="5334D7F7" w14:textId="77777777" w:rsidR="00421C32" w:rsidRDefault="00716C2D" w:rsidP="001F5AAF">
      <w:pPr>
        <w:spacing w:line="276" w:lineRule="auto"/>
        <w:jc w:val="both"/>
        <w:rPr>
          <w:rFonts w:eastAsia="Calibri" w:cs="Calibri"/>
        </w:rPr>
      </w:pPr>
      <w:r>
        <w:rPr>
          <w:rFonts w:eastAsia="Calibri" w:cs="Calibri"/>
        </w:rPr>
        <w:t>Já em relação aos</w:t>
      </w:r>
      <w:r w:rsidR="00582E49">
        <w:rPr>
          <w:rFonts w:eastAsia="Calibri" w:cs="Calibri"/>
        </w:rPr>
        <w:t xml:space="preserve"> valores inscritos em</w:t>
      </w:r>
      <w:r>
        <w:rPr>
          <w:rFonts w:eastAsia="Calibri" w:cs="Calibri"/>
        </w:rPr>
        <w:t xml:space="preserve"> Restos a Pagar Processado</w:t>
      </w:r>
      <w:r w:rsidR="001C5FD0">
        <w:rPr>
          <w:rFonts w:eastAsia="Calibri" w:cs="Calibri"/>
        </w:rPr>
        <w:t>s</w:t>
      </w:r>
      <w:r w:rsidR="00BC074A">
        <w:rPr>
          <w:rFonts w:eastAsia="Calibri" w:cs="Calibri"/>
        </w:rPr>
        <w:t xml:space="preserve"> (R$ </w:t>
      </w:r>
      <w:r w:rsidR="00D57379">
        <w:rPr>
          <w:rFonts w:eastAsia="Calibri" w:cs="Calibri"/>
        </w:rPr>
        <w:t>370.083,00)</w:t>
      </w:r>
      <w:r>
        <w:rPr>
          <w:rFonts w:eastAsia="Calibri" w:cs="Calibri"/>
        </w:rPr>
        <w:t xml:space="preserve">, </w:t>
      </w:r>
      <w:r w:rsidR="00DF27C9">
        <w:rPr>
          <w:rFonts w:eastAsia="Calibri" w:cs="Calibri"/>
        </w:rPr>
        <w:t>100</w:t>
      </w:r>
      <w:r>
        <w:rPr>
          <w:rFonts w:eastAsia="Calibri" w:cs="Calibri"/>
        </w:rPr>
        <w:t xml:space="preserve">% </w:t>
      </w:r>
      <w:r w:rsidR="00DF27C9">
        <w:rPr>
          <w:rFonts w:eastAsia="Calibri" w:cs="Calibri"/>
        </w:rPr>
        <w:t>do valor foi</w:t>
      </w:r>
      <w:r>
        <w:rPr>
          <w:rFonts w:eastAsia="Calibri" w:cs="Calibri"/>
        </w:rPr>
        <w:t xml:space="preserve"> inscrito</w:t>
      </w:r>
      <w:r w:rsidR="003B0088">
        <w:rPr>
          <w:rFonts w:eastAsia="Calibri" w:cs="Calibri"/>
        </w:rPr>
        <w:t xml:space="preserve"> n</w:t>
      </w:r>
      <w:r w:rsidR="00335C13">
        <w:rPr>
          <w:rFonts w:eastAsia="Calibri" w:cs="Calibri"/>
        </w:rPr>
        <w:t>o grupo “Outras Despesas Correntes”</w:t>
      </w:r>
      <w:r w:rsidR="006055D8">
        <w:rPr>
          <w:rFonts w:eastAsia="Calibri" w:cs="Calibri"/>
        </w:rPr>
        <w:t xml:space="preserve">, sendo </w:t>
      </w:r>
      <w:r w:rsidR="006A4147">
        <w:rPr>
          <w:rFonts w:eastAsia="Calibri" w:cs="Calibri"/>
        </w:rPr>
        <w:t>pago</w:t>
      </w:r>
      <w:r w:rsidR="006055D8">
        <w:rPr>
          <w:rFonts w:eastAsia="Calibri" w:cs="Calibri"/>
        </w:rPr>
        <w:t xml:space="preserve"> o montante de </w:t>
      </w:r>
      <w:r w:rsidR="006A4147">
        <w:rPr>
          <w:rFonts w:eastAsia="Calibri" w:cs="Calibri"/>
        </w:rPr>
        <w:t>98%</w:t>
      </w:r>
      <w:r w:rsidR="00582E49">
        <w:rPr>
          <w:rFonts w:eastAsia="Calibri" w:cs="Calibri"/>
        </w:rPr>
        <w:t xml:space="preserve"> durante o exercício de 2022</w:t>
      </w:r>
      <w:r w:rsidR="00F16ADE">
        <w:rPr>
          <w:rFonts w:eastAsia="Calibri" w:cs="Calibri"/>
        </w:rPr>
        <w:t xml:space="preserve">. </w:t>
      </w:r>
    </w:p>
    <w:p w14:paraId="1C50305D" w14:textId="18F51934" w:rsidR="00061F09" w:rsidRDefault="00F16ADE" w:rsidP="0079359A">
      <w:pPr>
        <w:spacing w:line="276" w:lineRule="auto"/>
        <w:jc w:val="both"/>
        <w:rPr>
          <w:rFonts w:eastAsia="Calibri" w:cs="Calibri"/>
        </w:rPr>
      </w:pPr>
      <w:r>
        <w:rPr>
          <w:rFonts w:eastAsia="Calibri" w:cs="Calibri"/>
        </w:rPr>
        <w:t>Quanto ao valor</w:t>
      </w:r>
      <w:r w:rsidR="00050991">
        <w:rPr>
          <w:rFonts w:eastAsia="Calibri" w:cs="Calibri"/>
        </w:rPr>
        <w:t xml:space="preserve"> de </w:t>
      </w:r>
      <w:r w:rsidR="00050991">
        <w:rPr>
          <w:rFonts w:eastAsia="Calibri" w:cs="Calibri"/>
        </w:rPr>
        <w:t>R$ 7.397,24</w:t>
      </w:r>
      <w:r w:rsidR="00050991">
        <w:rPr>
          <w:rFonts w:eastAsia="Calibri" w:cs="Calibri"/>
        </w:rPr>
        <w:t>,</w:t>
      </w:r>
      <w:r w:rsidR="00C90F4B">
        <w:rPr>
          <w:rFonts w:eastAsia="Calibri" w:cs="Calibri"/>
        </w:rPr>
        <w:t xml:space="preserve"> </w:t>
      </w:r>
      <w:r w:rsidR="00C90F4B">
        <w:rPr>
          <w:rFonts w:eastAsia="Calibri" w:cs="Calibri"/>
        </w:rPr>
        <w:t xml:space="preserve">inscrito como </w:t>
      </w:r>
      <w:r w:rsidR="007718E6">
        <w:rPr>
          <w:rFonts w:eastAsia="Calibri" w:cs="Calibri"/>
        </w:rPr>
        <w:t>restos a pagar processados</w:t>
      </w:r>
      <w:r w:rsidR="00C90F4B">
        <w:rPr>
          <w:rFonts w:eastAsia="Calibri" w:cs="Calibri"/>
        </w:rPr>
        <w:t xml:space="preserve"> de exercícios anteriores </w:t>
      </w:r>
      <w:r w:rsidR="007718E6">
        <w:rPr>
          <w:rFonts w:eastAsia="Calibri" w:cs="Calibri"/>
        </w:rPr>
        <w:t>a</w:t>
      </w:r>
      <w:r w:rsidR="00C90F4B">
        <w:rPr>
          <w:rFonts w:eastAsia="Calibri" w:cs="Calibri"/>
        </w:rPr>
        <w:t xml:space="preserve"> </w:t>
      </w:r>
      <w:r w:rsidR="00583FAF">
        <w:rPr>
          <w:rFonts w:eastAsia="Calibri" w:cs="Calibri"/>
        </w:rPr>
        <w:t>2</w:t>
      </w:r>
      <w:r w:rsidR="00C90F4B">
        <w:rPr>
          <w:rFonts w:eastAsia="Calibri" w:cs="Calibri"/>
        </w:rPr>
        <w:t>021</w:t>
      </w:r>
      <w:r w:rsidR="00C90F4B">
        <w:rPr>
          <w:rFonts w:eastAsia="Calibri" w:cs="Calibri"/>
        </w:rPr>
        <w:t>,</w:t>
      </w:r>
      <w:r>
        <w:rPr>
          <w:rFonts w:eastAsia="Calibri" w:cs="Calibri"/>
        </w:rPr>
        <w:t xml:space="preserve"> </w:t>
      </w:r>
      <w:r w:rsidR="00050991">
        <w:rPr>
          <w:rFonts w:eastAsia="Calibri" w:cs="Calibri"/>
        </w:rPr>
        <w:t>esclarecemos</w:t>
      </w:r>
      <w:r w:rsidR="002B33B2">
        <w:rPr>
          <w:rFonts w:eastAsia="Calibri" w:cs="Calibri"/>
        </w:rPr>
        <w:t>,</w:t>
      </w:r>
      <w:r w:rsidR="00050991">
        <w:rPr>
          <w:rFonts w:eastAsia="Calibri" w:cs="Calibri"/>
        </w:rPr>
        <w:t xml:space="preserve"> </w:t>
      </w:r>
      <w:r w:rsidR="00421C32">
        <w:rPr>
          <w:rFonts w:eastAsia="Calibri" w:cs="Calibri"/>
        </w:rPr>
        <w:t xml:space="preserve">que </w:t>
      </w:r>
      <w:r w:rsidR="00D45A85">
        <w:rPr>
          <w:rFonts w:eastAsia="Calibri" w:cs="Calibri"/>
        </w:rPr>
        <w:t>apesar de se tratar de</w:t>
      </w:r>
      <w:r w:rsidR="00353B38">
        <w:rPr>
          <w:rFonts w:eastAsia="Calibri" w:cs="Calibri"/>
        </w:rPr>
        <w:t xml:space="preserve"> faturas </w:t>
      </w:r>
      <w:r w:rsidR="00D45A85">
        <w:rPr>
          <w:rFonts w:eastAsia="Calibri" w:cs="Calibri"/>
        </w:rPr>
        <w:t>de</w:t>
      </w:r>
      <w:r w:rsidR="00353B38">
        <w:rPr>
          <w:rFonts w:eastAsia="Calibri" w:cs="Calibri"/>
        </w:rPr>
        <w:t xml:space="preserve"> competência dezembro/2017</w:t>
      </w:r>
      <w:r w:rsidR="0079359A">
        <w:rPr>
          <w:rFonts w:eastAsia="Calibri" w:cs="Calibri"/>
        </w:rPr>
        <w:t xml:space="preserve"> (</w:t>
      </w:r>
      <w:r w:rsidR="0079359A">
        <w:rPr>
          <w:rStyle w:val="ui-provider"/>
        </w:rPr>
        <w:t>2017NE000119</w:t>
      </w:r>
      <w:r w:rsidR="0079359A">
        <w:rPr>
          <w:rStyle w:val="ui-provider"/>
        </w:rPr>
        <w:t>)</w:t>
      </w:r>
      <w:r w:rsidR="00D45A85">
        <w:rPr>
          <w:rFonts w:eastAsia="Calibri" w:cs="Calibri"/>
        </w:rPr>
        <w:t>,</w:t>
      </w:r>
      <w:r w:rsidR="00D026A1">
        <w:rPr>
          <w:rFonts w:eastAsia="Calibri" w:cs="Calibri"/>
        </w:rPr>
        <w:t xml:space="preserve"> </w:t>
      </w:r>
      <w:r w:rsidR="00D45A85">
        <w:rPr>
          <w:rFonts w:eastAsia="Calibri" w:cs="Calibri"/>
        </w:rPr>
        <w:t>o</w:t>
      </w:r>
      <w:r w:rsidR="006E7A34">
        <w:rPr>
          <w:rFonts w:eastAsia="Calibri" w:cs="Calibri"/>
        </w:rPr>
        <w:t xml:space="preserve"> </w:t>
      </w:r>
      <w:r w:rsidR="007718E6">
        <w:rPr>
          <w:rFonts w:eastAsia="Calibri" w:cs="Calibri"/>
        </w:rPr>
        <w:t xml:space="preserve">seu </w:t>
      </w:r>
      <w:r w:rsidR="006E7A34">
        <w:rPr>
          <w:rFonts w:eastAsia="Calibri" w:cs="Calibri"/>
        </w:rPr>
        <w:t xml:space="preserve">pagamento </w:t>
      </w:r>
      <w:r w:rsidR="00D45A85">
        <w:rPr>
          <w:rFonts w:eastAsia="Calibri" w:cs="Calibri"/>
        </w:rPr>
        <w:t>foi efetuad</w:t>
      </w:r>
      <w:r w:rsidR="007718E6">
        <w:rPr>
          <w:rFonts w:eastAsia="Calibri" w:cs="Calibri"/>
        </w:rPr>
        <w:t>o</w:t>
      </w:r>
      <w:r w:rsidR="00D45A85">
        <w:rPr>
          <w:rFonts w:eastAsia="Calibri" w:cs="Calibri"/>
        </w:rPr>
        <w:t xml:space="preserve"> </w:t>
      </w:r>
      <w:r w:rsidR="006E7A34">
        <w:rPr>
          <w:rFonts w:eastAsia="Calibri" w:cs="Calibri"/>
        </w:rPr>
        <w:t>utilizando o orçamento de 2018</w:t>
      </w:r>
      <w:r w:rsidR="002A2247">
        <w:rPr>
          <w:rFonts w:eastAsia="Calibri" w:cs="Calibri"/>
        </w:rPr>
        <w:t xml:space="preserve"> em decorrência</w:t>
      </w:r>
      <w:r w:rsidR="00D45A85">
        <w:rPr>
          <w:rFonts w:eastAsia="Calibri" w:cs="Calibri"/>
        </w:rPr>
        <w:t xml:space="preserve"> </w:t>
      </w:r>
      <w:r w:rsidR="00583FAF">
        <w:rPr>
          <w:rFonts w:eastAsia="Calibri" w:cs="Calibri"/>
        </w:rPr>
        <w:t>de</w:t>
      </w:r>
      <w:r w:rsidR="00D45A85">
        <w:rPr>
          <w:rFonts w:eastAsia="Calibri" w:cs="Calibri"/>
        </w:rPr>
        <w:t xml:space="preserve"> inconsistência </w:t>
      </w:r>
      <w:r w:rsidR="00583FAF">
        <w:rPr>
          <w:rFonts w:eastAsia="Calibri" w:cs="Calibri"/>
        </w:rPr>
        <w:t xml:space="preserve">apresentada </w:t>
      </w:r>
      <w:r w:rsidR="00D45A85">
        <w:rPr>
          <w:rFonts w:eastAsia="Calibri" w:cs="Calibri"/>
        </w:rPr>
        <w:t>do SIAFI naquele momento</w:t>
      </w:r>
      <w:r w:rsidR="00D45A85">
        <w:rPr>
          <w:rFonts w:eastAsia="Calibri" w:cs="Calibri"/>
        </w:rPr>
        <w:t>.</w:t>
      </w:r>
      <w:r w:rsidR="007718E6">
        <w:rPr>
          <w:rFonts w:eastAsia="Calibri" w:cs="Calibri"/>
        </w:rPr>
        <w:t xml:space="preserve"> Tal situação, na época</w:t>
      </w:r>
      <w:r w:rsidR="000849A3">
        <w:rPr>
          <w:rFonts w:eastAsia="Calibri" w:cs="Calibri"/>
        </w:rPr>
        <w:t>,</w:t>
      </w:r>
      <w:r w:rsidR="007718E6">
        <w:rPr>
          <w:rFonts w:eastAsia="Calibri" w:cs="Calibri"/>
        </w:rPr>
        <w:t xml:space="preserve"> ficou </w:t>
      </w:r>
      <w:r w:rsidR="0043028F">
        <w:rPr>
          <w:rFonts w:eastAsia="Calibri" w:cs="Calibri"/>
        </w:rPr>
        <w:t>de</w:t>
      </w:r>
      <w:r w:rsidR="007718E6">
        <w:rPr>
          <w:rFonts w:eastAsia="Calibri" w:cs="Calibri"/>
        </w:rPr>
        <w:t xml:space="preserve"> ser regularizada pelo</w:t>
      </w:r>
      <w:r w:rsidR="002B33B2">
        <w:rPr>
          <w:rFonts w:eastAsia="Calibri" w:cs="Calibri"/>
        </w:rPr>
        <w:t xml:space="preserve"> próprio</w:t>
      </w:r>
      <w:r w:rsidR="007718E6">
        <w:rPr>
          <w:rFonts w:eastAsia="Calibri" w:cs="Calibri"/>
        </w:rPr>
        <w:t xml:space="preserve"> TSE, fato este que não ocorreu. </w:t>
      </w:r>
      <w:r w:rsidR="00061F09">
        <w:rPr>
          <w:rFonts w:eastAsia="Calibri" w:cs="Calibri"/>
        </w:rPr>
        <w:t xml:space="preserve">Considerando que tal situação não tem como ser regularizada pelo TRE/ES, a </w:t>
      </w:r>
      <w:r w:rsidR="001640D4">
        <w:rPr>
          <w:rFonts w:eastAsia="Calibri" w:cs="Calibri"/>
        </w:rPr>
        <w:t xml:space="preserve">Coordenadoria de Orçamento e Finanças – COF está em contato com o TSE para </w:t>
      </w:r>
      <w:r w:rsidR="00061F09">
        <w:rPr>
          <w:rFonts w:eastAsia="Calibri" w:cs="Calibri"/>
        </w:rPr>
        <w:t>resolver</w:t>
      </w:r>
      <w:r w:rsidR="001640D4">
        <w:rPr>
          <w:rFonts w:eastAsia="Calibri" w:cs="Calibri"/>
        </w:rPr>
        <w:t xml:space="preserve"> </w:t>
      </w:r>
      <w:r w:rsidR="00EB53F3">
        <w:rPr>
          <w:rFonts w:eastAsia="Calibri" w:cs="Calibri"/>
        </w:rPr>
        <w:t>tal</w:t>
      </w:r>
      <w:r w:rsidR="001640D4">
        <w:rPr>
          <w:rFonts w:eastAsia="Calibri" w:cs="Calibri"/>
        </w:rPr>
        <w:t xml:space="preserve"> situação</w:t>
      </w:r>
      <w:r w:rsidR="00C53C1E">
        <w:rPr>
          <w:rFonts w:eastAsia="Calibri" w:cs="Calibri"/>
        </w:rPr>
        <w:t xml:space="preserve">. </w:t>
      </w:r>
    </w:p>
    <w:p w14:paraId="5DD94936" w14:textId="255F3FA8" w:rsidR="006E7A34" w:rsidRDefault="007718E6" w:rsidP="002A2247">
      <w:pPr>
        <w:spacing w:before="240" w:line="276" w:lineRule="auto"/>
        <w:jc w:val="both"/>
        <w:rPr>
          <w:rFonts w:eastAsia="Calibri" w:cs="Calibri"/>
        </w:rPr>
      </w:pPr>
      <w:r>
        <w:rPr>
          <w:rFonts w:eastAsia="Calibri" w:cs="Calibri"/>
        </w:rPr>
        <w:t xml:space="preserve">Desta forma, ressaltamos que </w:t>
      </w:r>
      <w:r w:rsidR="002A2247">
        <w:rPr>
          <w:rFonts w:eastAsia="Calibri" w:cs="Calibri"/>
        </w:rPr>
        <w:t xml:space="preserve">o valor </w:t>
      </w:r>
      <w:r w:rsidR="0043028F">
        <w:rPr>
          <w:rFonts w:eastAsia="Calibri" w:cs="Calibri"/>
        </w:rPr>
        <w:t xml:space="preserve">de R$ 7.397,24, </w:t>
      </w:r>
      <w:r w:rsidR="002A2247">
        <w:rPr>
          <w:rFonts w:eastAsia="Calibri" w:cs="Calibri"/>
        </w:rPr>
        <w:t xml:space="preserve">não configura </w:t>
      </w:r>
      <w:r w:rsidR="0043028F">
        <w:rPr>
          <w:rFonts w:eastAsia="Calibri" w:cs="Calibri"/>
        </w:rPr>
        <w:t xml:space="preserve">efetivamente </w:t>
      </w:r>
      <w:r w:rsidR="002A2247">
        <w:rPr>
          <w:rFonts w:eastAsia="Calibri" w:cs="Calibri"/>
        </w:rPr>
        <w:t xml:space="preserve">uma despesa a ser paga, uma vez que sua quitação ocorreu em 2018 </w:t>
      </w:r>
      <w:r w:rsidR="002A2247">
        <w:rPr>
          <w:rFonts w:eastAsia="Calibri" w:cs="Calibri"/>
        </w:rPr>
        <w:t xml:space="preserve">(documentos SIAFI </w:t>
      </w:r>
      <w:proofErr w:type="spellStart"/>
      <w:r w:rsidR="002A2247">
        <w:rPr>
          <w:rFonts w:eastAsia="Calibri" w:cs="Calibri"/>
        </w:rPr>
        <w:t>nº’s</w:t>
      </w:r>
      <w:proofErr w:type="spellEnd"/>
      <w:r w:rsidR="002A2247">
        <w:rPr>
          <w:rFonts w:eastAsia="Calibri" w:cs="Calibri"/>
        </w:rPr>
        <w:t xml:space="preserve"> </w:t>
      </w:r>
      <w:r w:rsidR="002A2247">
        <w:t>2018OB800127, 2018DF800049 e 2018DF800050</w:t>
      </w:r>
      <w:r w:rsidR="000849A3">
        <w:t>)</w:t>
      </w:r>
      <w:r w:rsidR="0043028F">
        <w:t>,</w:t>
      </w:r>
      <w:r w:rsidR="000849A3">
        <w:t xml:space="preserve"> e</w:t>
      </w:r>
      <w:r w:rsidR="0043028F">
        <w:t>,</w:t>
      </w:r>
      <w:r w:rsidR="000849A3">
        <w:t xml:space="preserve"> sim, uma regularização de lançamento no SIAFI</w:t>
      </w:r>
      <w:r w:rsidR="00583FAF">
        <w:t>.</w:t>
      </w:r>
      <w:r w:rsidR="00584E20">
        <w:t xml:space="preserve"> Salientamos, também, que tal situação pode ser verificada por meio dos documentos 0278772, 0278773 e 0278821 do processo SEI nº </w:t>
      </w:r>
      <w:r w:rsidR="004D6680">
        <w:rPr>
          <w:rFonts w:eastAsia="Calibri" w:cs="Calibri"/>
        </w:rPr>
        <w:t>165-19.2016</w:t>
      </w:r>
      <w:r w:rsidR="004D6680">
        <w:rPr>
          <w:rFonts w:eastAsia="Calibri" w:cs="Calibri"/>
        </w:rPr>
        <w:t>.</w:t>
      </w:r>
    </w:p>
    <w:sectPr w:rsidR="006E7A34" w:rsidSect="00082143">
      <w:headerReference w:type="default" r:id="rId11"/>
      <w:pgSz w:w="11906" w:h="16838"/>
      <w:pgMar w:top="1440" w:right="836" w:bottom="1440" w:left="993"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CEEDD" w14:textId="77777777" w:rsidR="00A7205E" w:rsidRDefault="00A7205E" w:rsidP="003C6DCE">
      <w:pPr>
        <w:spacing w:after="0" w:line="240" w:lineRule="auto"/>
      </w:pPr>
      <w:r>
        <w:separator/>
      </w:r>
    </w:p>
  </w:endnote>
  <w:endnote w:type="continuationSeparator" w:id="0">
    <w:p w14:paraId="6CEF7A85" w14:textId="77777777" w:rsidR="00A7205E" w:rsidRDefault="00A7205E" w:rsidP="003C6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SansSerif">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FDC1B" w14:textId="77777777" w:rsidR="00A7205E" w:rsidRDefault="00A7205E" w:rsidP="003C6DCE">
      <w:pPr>
        <w:spacing w:after="0" w:line="240" w:lineRule="auto"/>
      </w:pPr>
      <w:r>
        <w:separator/>
      </w:r>
    </w:p>
  </w:footnote>
  <w:footnote w:type="continuationSeparator" w:id="0">
    <w:p w14:paraId="7F11D7FD" w14:textId="77777777" w:rsidR="00A7205E" w:rsidRDefault="00A7205E" w:rsidP="003C6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F3F36" w14:textId="77777777" w:rsidR="00E75705" w:rsidRDefault="00E75705" w:rsidP="00180E03">
    <w:pPr>
      <w:pStyle w:val="Cabealho"/>
      <w:jc w:val="center"/>
      <w:rPr>
        <w:b/>
        <w:bCs/>
      </w:rPr>
    </w:pPr>
  </w:p>
  <w:p w14:paraId="2428F821" w14:textId="73599204" w:rsidR="003C6DCE" w:rsidRPr="00E75705" w:rsidRDefault="002B6336" w:rsidP="00180E03">
    <w:pPr>
      <w:pStyle w:val="Cabealho"/>
      <w:jc w:val="center"/>
      <w:rPr>
        <w:b/>
        <w:bCs/>
        <w:sz w:val="24"/>
        <w:szCs w:val="24"/>
      </w:rPr>
    </w:pPr>
    <w:r w:rsidRPr="00E75705">
      <w:rPr>
        <w:b/>
        <w:bCs/>
        <w:sz w:val="24"/>
        <w:szCs w:val="24"/>
      </w:rPr>
      <w:t>TRIBUNAL REGIONAL ELEITORAL DO ESTADO DO ESP</w:t>
    </w:r>
    <w:r w:rsidR="00E75705" w:rsidRPr="00E75705">
      <w:rPr>
        <w:b/>
        <w:bCs/>
        <w:sz w:val="24"/>
        <w:szCs w:val="24"/>
      </w:rPr>
      <w:t>Í</w:t>
    </w:r>
    <w:r w:rsidRPr="00E75705">
      <w:rPr>
        <w:b/>
        <w:bCs/>
        <w:sz w:val="24"/>
        <w:szCs w:val="24"/>
      </w:rPr>
      <w:t>RITO SANTO</w:t>
    </w:r>
  </w:p>
  <w:p w14:paraId="73EBB121" w14:textId="58DB13E9" w:rsidR="002B6336" w:rsidRPr="00180E03" w:rsidRDefault="00180E03" w:rsidP="00180E03">
    <w:pPr>
      <w:pStyle w:val="Cabealho"/>
      <w:jc w:val="center"/>
      <w:rPr>
        <w:b/>
        <w:bCs/>
      </w:rPr>
    </w:pPr>
    <w:r w:rsidRPr="00180E03">
      <w:rPr>
        <w:b/>
        <w:bCs/>
      </w:rPr>
      <w:t>NOTAS EXPLICATIVAS DAS DEMONSTRAÇÕES CONTÁBEIS</w:t>
    </w:r>
  </w:p>
  <w:p w14:paraId="4271F082" w14:textId="5015E532" w:rsidR="00180E03" w:rsidRPr="00180E03" w:rsidRDefault="00180E03" w:rsidP="00180E03">
    <w:pPr>
      <w:pStyle w:val="Cabealho"/>
      <w:jc w:val="center"/>
      <w:rPr>
        <w:b/>
        <w:bCs/>
      </w:rPr>
    </w:pPr>
    <w:r w:rsidRPr="00180E03">
      <w:rPr>
        <w:b/>
        <w:bCs/>
      </w:rPr>
      <w:t>EXERCÍCIO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5F1F07"/>
    <w:multiLevelType w:val="multilevel"/>
    <w:tmpl w:val="F8E27C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E1129D1"/>
    <w:multiLevelType w:val="hybridMultilevel"/>
    <w:tmpl w:val="C2583B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8784CA3"/>
    <w:multiLevelType w:val="hybridMultilevel"/>
    <w:tmpl w:val="AE4871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8BA2BAA"/>
    <w:multiLevelType w:val="hybridMultilevel"/>
    <w:tmpl w:val="96FCF1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92954C8"/>
    <w:multiLevelType w:val="hybridMultilevel"/>
    <w:tmpl w:val="9D6A98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C377906"/>
    <w:multiLevelType w:val="hybridMultilevel"/>
    <w:tmpl w:val="57C206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610123DA"/>
    <w:multiLevelType w:val="multilevel"/>
    <w:tmpl w:val="3F0C15E8"/>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180"/>
      </w:pPr>
    </w:lvl>
    <w:lvl w:ilvl="3">
      <w:start w:val="1"/>
      <w:numFmt w:val="decimal"/>
      <w:lvlText w:val="%1.%2.%3.%4."/>
      <w:lvlJc w:val="left"/>
      <w:pPr>
        <w:tabs>
          <w:tab w:val="num" w:pos="0"/>
        </w:tabs>
        <w:ind w:left="2520" w:hanging="360"/>
      </w:pPr>
    </w:lvl>
    <w:lvl w:ilvl="4">
      <w:start w:val="1"/>
      <w:numFmt w:val="decimal"/>
      <w:lvlText w:val="%1.%2.%3.%4.%5."/>
      <w:lvlJc w:val="left"/>
      <w:pPr>
        <w:tabs>
          <w:tab w:val="num" w:pos="0"/>
        </w:tabs>
        <w:ind w:left="3240" w:hanging="360"/>
      </w:pPr>
    </w:lvl>
    <w:lvl w:ilvl="5">
      <w:start w:val="1"/>
      <w:numFmt w:val="decimal"/>
      <w:lvlText w:val="%1.%2.%3.%4.%5.%6."/>
      <w:lvlJc w:val="left"/>
      <w:pPr>
        <w:tabs>
          <w:tab w:val="num" w:pos="0"/>
        </w:tabs>
        <w:ind w:left="3960" w:hanging="180"/>
      </w:pPr>
    </w:lvl>
    <w:lvl w:ilvl="6">
      <w:start w:val="1"/>
      <w:numFmt w:val="decimal"/>
      <w:lvlText w:val="%1.%2.%3.%4.%5.%6.%7."/>
      <w:lvlJc w:val="left"/>
      <w:pPr>
        <w:tabs>
          <w:tab w:val="num" w:pos="0"/>
        </w:tabs>
        <w:ind w:left="4680" w:hanging="360"/>
      </w:pPr>
    </w:lvl>
    <w:lvl w:ilvl="7">
      <w:start w:val="1"/>
      <w:numFmt w:val="decimal"/>
      <w:lvlText w:val="%1.%2.%3.%4.%5.%6.%7.%8."/>
      <w:lvlJc w:val="left"/>
      <w:pPr>
        <w:tabs>
          <w:tab w:val="num" w:pos="0"/>
        </w:tabs>
        <w:ind w:left="5400" w:hanging="360"/>
      </w:pPr>
    </w:lvl>
    <w:lvl w:ilvl="8">
      <w:start w:val="1"/>
      <w:numFmt w:val="decimal"/>
      <w:lvlText w:val="%1.%2.%3.%4.%5.%6.%7.%8.%9."/>
      <w:lvlJc w:val="left"/>
      <w:pPr>
        <w:tabs>
          <w:tab w:val="num" w:pos="0"/>
        </w:tabs>
        <w:ind w:left="6120" w:hanging="180"/>
      </w:pPr>
    </w:lvl>
  </w:abstractNum>
  <w:abstractNum w:abstractNumId="7" w15:restartNumberingAfterBreak="0">
    <w:nsid w:val="6E4818DA"/>
    <w:multiLevelType w:val="hybridMultilevel"/>
    <w:tmpl w:val="018C9D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7C2E41E5"/>
    <w:multiLevelType w:val="hybridMultilevel"/>
    <w:tmpl w:val="6D2E1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613944729">
    <w:abstractNumId w:val="6"/>
  </w:num>
  <w:num w:numId="2" w16cid:durableId="382751831">
    <w:abstractNumId w:val="0"/>
  </w:num>
  <w:num w:numId="3" w16cid:durableId="1809779117">
    <w:abstractNumId w:val="7"/>
  </w:num>
  <w:num w:numId="4" w16cid:durableId="1587180373">
    <w:abstractNumId w:val="1"/>
  </w:num>
  <w:num w:numId="5" w16cid:durableId="1068261881">
    <w:abstractNumId w:val="5"/>
  </w:num>
  <w:num w:numId="6" w16cid:durableId="1565677218">
    <w:abstractNumId w:val="3"/>
  </w:num>
  <w:num w:numId="7" w16cid:durableId="568460437">
    <w:abstractNumId w:val="8"/>
  </w:num>
  <w:num w:numId="8" w16cid:durableId="1550721047">
    <w:abstractNumId w:val="2"/>
  </w:num>
  <w:num w:numId="9" w16cid:durableId="20997155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091"/>
    <w:rsid w:val="00001A56"/>
    <w:rsid w:val="0000318F"/>
    <w:rsid w:val="000048D4"/>
    <w:rsid w:val="00005B40"/>
    <w:rsid w:val="00006DA6"/>
    <w:rsid w:val="000133FB"/>
    <w:rsid w:val="00014735"/>
    <w:rsid w:val="00015851"/>
    <w:rsid w:val="00021383"/>
    <w:rsid w:val="00021604"/>
    <w:rsid w:val="000216EE"/>
    <w:rsid w:val="0002719F"/>
    <w:rsid w:val="000301B7"/>
    <w:rsid w:val="00040E01"/>
    <w:rsid w:val="00040F98"/>
    <w:rsid w:val="0004604A"/>
    <w:rsid w:val="0005026B"/>
    <w:rsid w:val="00050991"/>
    <w:rsid w:val="00052BF1"/>
    <w:rsid w:val="000579BA"/>
    <w:rsid w:val="0006057E"/>
    <w:rsid w:val="00060D69"/>
    <w:rsid w:val="00061F09"/>
    <w:rsid w:val="000653CB"/>
    <w:rsid w:val="000736D9"/>
    <w:rsid w:val="00073F9E"/>
    <w:rsid w:val="00082143"/>
    <w:rsid w:val="000837AD"/>
    <w:rsid w:val="000849A3"/>
    <w:rsid w:val="000859D1"/>
    <w:rsid w:val="00086D74"/>
    <w:rsid w:val="00087F5B"/>
    <w:rsid w:val="0009075F"/>
    <w:rsid w:val="000941C2"/>
    <w:rsid w:val="0009473B"/>
    <w:rsid w:val="000950BD"/>
    <w:rsid w:val="00095C6C"/>
    <w:rsid w:val="00097B11"/>
    <w:rsid w:val="000A0508"/>
    <w:rsid w:val="000A552F"/>
    <w:rsid w:val="000B6C41"/>
    <w:rsid w:val="000B7A2A"/>
    <w:rsid w:val="000C0B8A"/>
    <w:rsid w:val="000C1FA5"/>
    <w:rsid w:val="000C49ED"/>
    <w:rsid w:val="000D2DFE"/>
    <w:rsid w:val="000D7F4B"/>
    <w:rsid w:val="000E17F9"/>
    <w:rsid w:val="000E3078"/>
    <w:rsid w:val="000E5EE1"/>
    <w:rsid w:val="000E72D1"/>
    <w:rsid w:val="000E73BC"/>
    <w:rsid w:val="000F34E7"/>
    <w:rsid w:val="001005A0"/>
    <w:rsid w:val="001017A9"/>
    <w:rsid w:val="00102E2E"/>
    <w:rsid w:val="0010355A"/>
    <w:rsid w:val="001108D4"/>
    <w:rsid w:val="00111CD0"/>
    <w:rsid w:val="00115676"/>
    <w:rsid w:val="00120E16"/>
    <w:rsid w:val="00132046"/>
    <w:rsid w:val="00132E23"/>
    <w:rsid w:val="001348DA"/>
    <w:rsid w:val="0014111F"/>
    <w:rsid w:val="00141C36"/>
    <w:rsid w:val="00142A28"/>
    <w:rsid w:val="00145E5A"/>
    <w:rsid w:val="00146164"/>
    <w:rsid w:val="00147E36"/>
    <w:rsid w:val="00150EBA"/>
    <w:rsid w:val="00152B7F"/>
    <w:rsid w:val="0015728A"/>
    <w:rsid w:val="001600EA"/>
    <w:rsid w:val="00161EC4"/>
    <w:rsid w:val="00162C47"/>
    <w:rsid w:val="001640D4"/>
    <w:rsid w:val="00164E5E"/>
    <w:rsid w:val="0016557C"/>
    <w:rsid w:val="00166DF2"/>
    <w:rsid w:val="0017093D"/>
    <w:rsid w:val="00172323"/>
    <w:rsid w:val="00174961"/>
    <w:rsid w:val="00180E03"/>
    <w:rsid w:val="001818D0"/>
    <w:rsid w:val="0018217E"/>
    <w:rsid w:val="00183745"/>
    <w:rsid w:val="001837B1"/>
    <w:rsid w:val="001867B0"/>
    <w:rsid w:val="0019296F"/>
    <w:rsid w:val="00192C48"/>
    <w:rsid w:val="001A2339"/>
    <w:rsid w:val="001A5838"/>
    <w:rsid w:val="001A5AF8"/>
    <w:rsid w:val="001B0144"/>
    <w:rsid w:val="001B0C7B"/>
    <w:rsid w:val="001B0D32"/>
    <w:rsid w:val="001B60F7"/>
    <w:rsid w:val="001C5501"/>
    <w:rsid w:val="001C5AB1"/>
    <w:rsid w:val="001C5FD0"/>
    <w:rsid w:val="001C7759"/>
    <w:rsid w:val="001C7852"/>
    <w:rsid w:val="001D3200"/>
    <w:rsid w:val="001D4C10"/>
    <w:rsid w:val="001D5B83"/>
    <w:rsid w:val="001D7207"/>
    <w:rsid w:val="001E05A9"/>
    <w:rsid w:val="001E24F6"/>
    <w:rsid w:val="001F3289"/>
    <w:rsid w:val="001F3851"/>
    <w:rsid w:val="001F5AAF"/>
    <w:rsid w:val="002005DC"/>
    <w:rsid w:val="002017FF"/>
    <w:rsid w:val="00203880"/>
    <w:rsid w:val="002038DA"/>
    <w:rsid w:val="00203DE1"/>
    <w:rsid w:val="00205494"/>
    <w:rsid w:val="002131FA"/>
    <w:rsid w:val="00216DC6"/>
    <w:rsid w:val="00220E7C"/>
    <w:rsid w:val="00223CEA"/>
    <w:rsid w:val="002250A7"/>
    <w:rsid w:val="00225E13"/>
    <w:rsid w:val="00230565"/>
    <w:rsid w:val="00233F9E"/>
    <w:rsid w:val="0024059E"/>
    <w:rsid w:val="00240BF1"/>
    <w:rsid w:val="00242FA6"/>
    <w:rsid w:val="00243F72"/>
    <w:rsid w:val="00247CE1"/>
    <w:rsid w:val="00251E84"/>
    <w:rsid w:val="0025259E"/>
    <w:rsid w:val="00256AEE"/>
    <w:rsid w:val="00262B02"/>
    <w:rsid w:val="00263CCC"/>
    <w:rsid w:val="00273D37"/>
    <w:rsid w:val="00274D23"/>
    <w:rsid w:val="00274D78"/>
    <w:rsid w:val="00275541"/>
    <w:rsid w:val="0027723B"/>
    <w:rsid w:val="0028040D"/>
    <w:rsid w:val="0028094C"/>
    <w:rsid w:val="00291BBE"/>
    <w:rsid w:val="00291BDC"/>
    <w:rsid w:val="002A2247"/>
    <w:rsid w:val="002A4BEC"/>
    <w:rsid w:val="002A5EF9"/>
    <w:rsid w:val="002A69D4"/>
    <w:rsid w:val="002A7134"/>
    <w:rsid w:val="002B0195"/>
    <w:rsid w:val="002B0A00"/>
    <w:rsid w:val="002B2DFA"/>
    <w:rsid w:val="002B33B2"/>
    <w:rsid w:val="002B6336"/>
    <w:rsid w:val="002C5DC7"/>
    <w:rsid w:val="002D09D8"/>
    <w:rsid w:val="002D1A7B"/>
    <w:rsid w:val="002D3B6D"/>
    <w:rsid w:val="002D5373"/>
    <w:rsid w:val="002D5911"/>
    <w:rsid w:val="002E0EC9"/>
    <w:rsid w:val="002E21CF"/>
    <w:rsid w:val="002E4EDA"/>
    <w:rsid w:val="002E5961"/>
    <w:rsid w:val="002F3A5E"/>
    <w:rsid w:val="002F41D4"/>
    <w:rsid w:val="002F6861"/>
    <w:rsid w:val="002F7C85"/>
    <w:rsid w:val="003005A0"/>
    <w:rsid w:val="00300C45"/>
    <w:rsid w:val="00306039"/>
    <w:rsid w:val="00311B62"/>
    <w:rsid w:val="00311CD0"/>
    <w:rsid w:val="003150BC"/>
    <w:rsid w:val="00316290"/>
    <w:rsid w:val="00316586"/>
    <w:rsid w:val="00316F35"/>
    <w:rsid w:val="00317A41"/>
    <w:rsid w:val="00320CE7"/>
    <w:rsid w:val="00320D17"/>
    <w:rsid w:val="00322B91"/>
    <w:rsid w:val="00332DB0"/>
    <w:rsid w:val="00333B56"/>
    <w:rsid w:val="00335C13"/>
    <w:rsid w:val="00341E7C"/>
    <w:rsid w:val="0034683A"/>
    <w:rsid w:val="003513F9"/>
    <w:rsid w:val="00351D66"/>
    <w:rsid w:val="00352510"/>
    <w:rsid w:val="00353B38"/>
    <w:rsid w:val="003540E3"/>
    <w:rsid w:val="00355912"/>
    <w:rsid w:val="003570CC"/>
    <w:rsid w:val="0036082A"/>
    <w:rsid w:val="00361AB5"/>
    <w:rsid w:val="0036555A"/>
    <w:rsid w:val="00375CD1"/>
    <w:rsid w:val="0038092D"/>
    <w:rsid w:val="003857B8"/>
    <w:rsid w:val="00385883"/>
    <w:rsid w:val="003900C0"/>
    <w:rsid w:val="003904AC"/>
    <w:rsid w:val="003948AF"/>
    <w:rsid w:val="00395218"/>
    <w:rsid w:val="003A0C8E"/>
    <w:rsid w:val="003A0FA7"/>
    <w:rsid w:val="003A1642"/>
    <w:rsid w:val="003A47E4"/>
    <w:rsid w:val="003B0088"/>
    <w:rsid w:val="003B0DFA"/>
    <w:rsid w:val="003B396F"/>
    <w:rsid w:val="003B76CA"/>
    <w:rsid w:val="003C0B21"/>
    <w:rsid w:val="003C1F40"/>
    <w:rsid w:val="003C6DCE"/>
    <w:rsid w:val="003D16A4"/>
    <w:rsid w:val="003D2F51"/>
    <w:rsid w:val="003D3746"/>
    <w:rsid w:val="003D53B0"/>
    <w:rsid w:val="003E13E0"/>
    <w:rsid w:val="003E28EA"/>
    <w:rsid w:val="003E6E3C"/>
    <w:rsid w:val="003F0F6B"/>
    <w:rsid w:val="003F1435"/>
    <w:rsid w:val="003F575B"/>
    <w:rsid w:val="003F599D"/>
    <w:rsid w:val="004034C5"/>
    <w:rsid w:val="00410D3A"/>
    <w:rsid w:val="004121F9"/>
    <w:rsid w:val="00413104"/>
    <w:rsid w:val="00414713"/>
    <w:rsid w:val="00416F7B"/>
    <w:rsid w:val="00420D6D"/>
    <w:rsid w:val="00421C32"/>
    <w:rsid w:val="004239C3"/>
    <w:rsid w:val="0043028F"/>
    <w:rsid w:val="00431EBF"/>
    <w:rsid w:val="00435492"/>
    <w:rsid w:val="004414E2"/>
    <w:rsid w:val="00445AE2"/>
    <w:rsid w:val="00446EB4"/>
    <w:rsid w:val="00450144"/>
    <w:rsid w:val="00453797"/>
    <w:rsid w:val="00457A76"/>
    <w:rsid w:val="00460924"/>
    <w:rsid w:val="00461ED6"/>
    <w:rsid w:val="00463894"/>
    <w:rsid w:val="004706B8"/>
    <w:rsid w:val="00473539"/>
    <w:rsid w:val="004850F9"/>
    <w:rsid w:val="004855AC"/>
    <w:rsid w:val="00486AF0"/>
    <w:rsid w:val="004903F8"/>
    <w:rsid w:val="00492BDB"/>
    <w:rsid w:val="00495293"/>
    <w:rsid w:val="004A1299"/>
    <w:rsid w:val="004A2A17"/>
    <w:rsid w:val="004A68B6"/>
    <w:rsid w:val="004A718C"/>
    <w:rsid w:val="004B50F6"/>
    <w:rsid w:val="004C4AAE"/>
    <w:rsid w:val="004C6711"/>
    <w:rsid w:val="004D438E"/>
    <w:rsid w:val="004D6680"/>
    <w:rsid w:val="004D6BCA"/>
    <w:rsid w:val="004E4B85"/>
    <w:rsid w:val="004F10F1"/>
    <w:rsid w:val="004F2BA6"/>
    <w:rsid w:val="004F6B02"/>
    <w:rsid w:val="0050155C"/>
    <w:rsid w:val="00503970"/>
    <w:rsid w:val="00504B16"/>
    <w:rsid w:val="00506A26"/>
    <w:rsid w:val="00511878"/>
    <w:rsid w:val="005154DE"/>
    <w:rsid w:val="00515607"/>
    <w:rsid w:val="005174AB"/>
    <w:rsid w:val="0051776C"/>
    <w:rsid w:val="00520CF7"/>
    <w:rsid w:val="005210F1"/>
    <w:rsid w:val="005243B7"/>
    <w:rsid w:val="005255D4"/>
    <w:rsid w:val="00531D9A"/>
    <w:rsid w:val="00533584"/>
    <w:rsid w:val="0053369A"/>
    <w:rsid w:val="005345F7"/>
    <w:rsid w:val="00550987"/>
    <w:rsid w:val="00555DD4"/>
    <w:rsid w:val="00556480"/>
    <w:rsid w:val="00564189"/>
    <w:rsid w:val="0056580B"/>
    <w:rsid w:val="00570908"/>
    <w:rsid w:val="00577C01"/>
    <w:rsid w:val="00580CE6"/>
    <w:rsid w:val="00581082"/>
    <w:rsid w:val="00582E49"/>
    <w:rsid w:val="00583FAF"/>
    <w:rsid w:val="005841E8"/>
    <w:rsid w:val="0058493C"/>
    <w:rsid w:val="00584E20"/>
    <w:rsid w:val="00584E3B"/>
    <w:rsid w:val="00586722"/>
    <w:rsid w:val="00590FD3"/>
    <w:rsid w:val="0059442C"/>
    <w:rsid w:val="00595BCB"/>
    <w:rsid w:val="005A0AC6"/>
    <w:rsid w:val="005A101C"/>
    <w:rsid w:val="005A1F02"/>
    <w:rsid w:val="005A4823"/>
    <w:rsid w:val="005A51C3"/>
    <w:rsid w:val="005A6D75"/>
    <w:rsid w:val="005B62CB"/>
    <w:rsid w:val="005C2762"/>
    <w:rsid w:val="005C7962"/>
    <w:rsid w:val="005D0B5A"/>
    <w:rsid w:val="005D275F"/>
    <w:rsid w:val="005E315A"/>
    <w:rsid w:val="005E432C"/>
    <w:rsid w:val="005E53AB"/>
    <w:rsid w:val="005F0394"/>
    <w:rsid w:val="005F7AB9"/>
    <w:rsid w:val="00600B50"/>
    <w:rsid w:val="00600D67"/>
    <w:rsid w:val="006055D8"/>
    <w:rsid w:val="00605C66"/>
    <w:rsid w:val="006077D8"/>
    <w:rsid w:val="00607918"/>
    <w:rsid w:val="00614BB8"/>
    <w:rsid w:val="00620328"/>
    <w:rsid w:val="00622EC3"/>
    <w:rsid w:val="0062535A"/>
    <w:rsid w:val="00633FBA"/>
    <w:rsid w:val="0063522B"/>
    <w:rsid w:val="00636862"/>
    <w:rsid w:val="00640222"/>
    <w:rsid w:val="006436B9"/>
    <w:rsid w:val="00646CD8"/>
    <w:rsid w:val="00651268"/>
    <w:rsid w:val="00651863"/>
    <w:rsid w:val="00652AC2"/>
    <w:rsid w:val="0065486A"/>
    <w:rsid w:val="006558B3"/>
    <w:rsid w:val="006558DE"/>
    <w:rsid w:val="00664E63"/>
    <w:rsid w:val="00670727"/>
    <w:rsid w:val="00671D65"/>
    <w:rsid w:val="006726D4"/>
    <w:rsid w:val="00673476"/>
    <w:rsid w:val="00673AA0"/>
    <w:rsid w:val="00676A75"/>
    <w:rsid w:val="0067724B"/>
    <w:rsid w:val="006777E1"/>
    <w:rsid w:val="0068403A"/>
    <w:rsid w:val="00684B03"/>
    <w:rsid w:val="00687116"/>
    <w:rsid w:val="00690212"/>
    <w:rsid w:val="00690838"/>
    <w:rsid w:val="0069139F"/>
    <w:rsid w:val="006950A3"/>
    <w:rsid w:val="0069637F"/>
    <w:rsid w:val="0069670D"/>
    <w:rsid w:val="006978C9"/>
    <w:rsid w:val="006A4147"/>
    <w:rsid w:val="006A5A0F"/>
    <w:rsid w:val="006A5CC2"/>
    <w:rsid w:val="006A7735"/>
    <w:rsid w:val="006A778B"/>
    <w:rsid w:val="006B0E42"/>
    <w:rsid w:val="006B34C3"/>
    <w:rsid w:val="006B5290"/>
    <w:rsid w:val="006B52B3"/>
    <w:rsid w:val="006B57BC"/>
    <w:rsid w:val="006B5F38"/>
    <w:rsid w:val="006B77DC"/>
    <w:rsid w:val="006C056A"/>
    <w:rsid w:val="006C0D4D"/>
    <w:rsid w:val="006C3524"/>
    <w:rsid w:val="006C5746"/>
    <w:rsid w:val="006C71C6"/>
    <w:rsid w:val="006C7337"/>
    <w:rsid w:val="006C75BE"/>
    <w:rsid w:val="006C7B86"/>
    <w:rsid w:val="006D1628"/>
    <w:rsid w:val="006D3C0E"/>
    <w:rsid w:val="006D4E33"/>
    <w:rsid w:val="006D560B"/>
    <w:rsid w:val="006D7F9A"/>
    <w:rsid w:val="006E2659"/>
    <w:rsid w:val="006E3526"/>
    <w:rsid w:val="006E46E8"/>
    <w:rsid w:val="006E5881"/>
    <w:rsid w:val="006E594A"/>
    <w:rsid w:val="006E7A34"/>
    <w:rsid w:val="006F0D75"/>
    <w:rsid w:val="006F1E9F"/>
    <w:rsid w:val="006F4B3D"/>
    <w:rsid w:val="006F5BE7"/>
    <w:rsid w:val="006F602F"/>
    <w:rsid w:val="007035B3"/>
    <w:rsid w:val="00704F88"/>
    <w:rsid w:val="00714744"/>
    <w:rsid w:val="00716C2D"/>
    <w:rsid w:val="00721BF2"/>
    <w:rsid w:val="00721C9D"/>
    <w:rsid w:val="00723976"/>
    <w:rsid w:val="00727549"/>
    <w:rsid w:val="00727DD8"/>
    <w:rsid w:val="00733018"/>
    <w:rsid w:val="007423A9"/>
    <w:rsid w:val="007444F3"/>
    <w:rsid w:val="0075242F"/>
    <w:rsid w:val="00765E4F"/>
    <w:rsid w:val="007676E0"/>
    <w:rsid w:val="007718E6"/>
    <w:rsid w:val="00772817"/>
    <w:rsid w:val="0077437A"/>
    <w:rsid w:val="00780C79"/>
    <w:rsid w:val="00782C09"/>
    <w:rsid w:val="00791FC7"/>
    <w:rsid w:val="00792465"/>
    <w:rsid w:val="0079359A"/>
    <w:rsid w:val="007946E8"/>
    <w:rsid w:val="007A024C"/>
    <w:rsid w:val="007A073E"/>
    <w:rsid w:val="007A70B3"/>
    <w:rsid w:val="007A7409"/>
    <w:rsid w:val="007A7A13"/>
    <w:rsid w:val="007B2165"/>
    <w:rsid w:val="007B3666"/>
    <w:rsid w:val="007C2003"/>
    <w:rsid w:val="007C3522"/>
    <w:rsid w:val="007C7ED5"/>
    <w:rsid w:val="007D00F4"/>
    <w:rsid w:val="007D679F"/>
    <w:rsid w:val="007E2802"/>
    <w:rsid w:val="007F2B40"/>
    <w:rsid w:val="007F2F12"/>
    <w:rsid w:val="007F4EF3"/>
    <w:rsid w:val="008055E4"/>
    <w:rsid w:val="00812FB1"/>
    <w:rsid w:val="00813828"/>
    <w:rsid w:val="00816A13"/>
    <w:rsid w:val="0082173A"/>
    <w:rsid w:val="00822150"/>
    <w:rsid w:val="00822345"/>
    <w:rsid w:val="008269B5"/>
    <w:rsid w:val="00826CAC"/>
    <w:rsid w:val="0083129F"/>
    <w:rsid w:val="008332E2"/>
    <w:rsid w:val="00833C64"/>
    <w:rsid w:val="008341EC"/>
    <w:rsid w:val="00834993"/>
    <w:rsid w:val="00840845"/>
    <w:rsid w:val="00841155"/>
    <w:rsid w:val="00841719"/>
    <w:rsid w:val="008422A6"/>
    <w:rsid w:val="00842CDA"/>
    <w:rsid w:val="00844167"/>
    <w:rsid w:val="0084448F"/>
    <w:rsid w:val="00850D03"/>
    <w:rsid w:val="00860676"/>
    <w:rsid w:val="00860F71"/>
    <w:rsid w:val="00863C67"/>
    <w:rsid w:val="0087297B"/>
    <w:rsid w:val="0087619F"/>
    <w:rsid w:val="00887439"/>
    <w:rsid w:val="00887C6D"/>
    <w:rsid w:val="00896494"/>
    <w:rsid w:val="008968C3"/>
    <w:rsid w:val="00897E9D"/>
    <w:rsid w:val="008A3642"/>
    <w:rsid w:val="008A386A"/>
    <w:rsid w:val="008A4C7C"/>
    <w:rsid w:val="008B0A4E"/>
    <w:rsid w:val="008B323D"/>
    <w:rsid w:val="008B45F2"/>
    <w:rsid w:val="008B515D"/>
    <w:rsid w:val="008B6EF1"/>
    <w:rsid w:val="008C0B58"/>
    <w:rsid w:val="008C236B"/>
    <w:rsid w:val="008C4A22"/>
    <w:rsid w:val="008D02D9"/>
    <w:rsid w:val="008D3E83"/>
    <w:rsid w:val="008E2106"/>
    <w:rsid w:val="008E5AD0"/>
    <w:rsid w:val="008E61B2"/>
    <w:rsid w:val="008E7D35"/>
    <w:rsid w:val="008F399A"/>
    <w:rsid w:val="00904441"/>
    <w:rsid w:val="00905E5B"/>
    <w:rsid w:val="009061DC"/>
    <w:rsid w:val="009063A7"/>
    <w:rsid w:val="00907AC2"/>
    <w:rsid w:val="00911C66"/>
    <w:rsid w:val="0091372B"/>
    <w:rsid w:val="0092079C"/>
    <w:rsid w:val="00930112"/>
    <w:rsid w:val="009310AA"/>
    <w:rsid w:val="009311E8"/>
    <w:rsid w:val="00935DA1"/>
    <w:rsid w:val="00937C72"/>
    <w:rsid w:val="00937CF3"/>
    <w:rsid w:val="00940878"/>
    <w:rsid w:val="009421FC"/>
    <w:rsid w:val="00946E8A"/>
    <w:rsid w:val="009503F1"/>
    <w:rsid w:val="00952C38"/>
    <w:rsid w:val="00952F2B"/>
    <w:rsid w:val="00954668"/>
    <w:rsid w:val="00954E8F"/>
    <w:rsid w:val="0096107F"/>
    <w:rsid w:val="00962B1D"/>
    <w:rsid w:val="00962D68"/>
    <w:rsid w:val="00963B13"/>
    <w:rsid w:val="00965A9D"/>
    <w:rsid w:val="00970B9F"/>
    <w:rsid w:val="00971A74"/>
    <w:rsid w:val="009739AF"/>
    <w:rsid w:val="00974A36"/>
    <w:rsid w:val="00975731"/>
    <w:rsid w:val="00977A84"/>
    <w:rsid w:val="0098124C"/>
    <w:rsid w:val="00983FE7"/>
    <w:rsid w:val="00984F89"/>
    <w:rsid w:val="00985F1C"/>
    <w:rsid w:val="009864F8"/>
    <w:rsid w:val="00990958"/>
    <w:rsid w:val="00992CC7"/>
    <w:rsid w:val="00992E91"/>
    <w:rsid w:val="00993C1C"/>
    <w:rsid w:val="00995582"/>
    <w:rsid w:val="009A1194"/>
    <w:rsid w:val="009A16AE"/>
    <w:rsid w:val="009A3956"/>
    <w:rsid w:val="009A435B"/>
    <w:rsid w:val="009C0559"/>
    <w:rsid w:val="009C280F"/>
    <w:rsid w:val="009C2AC3"/>
    <w:rsid w:val="009C3FCC"/>
    <w:rsid w:val="009C53F8"/>
    <w:rsid w:val="009D5F53"/>
    <w:rsid w:val="009D76A5"/>
    <w:rsid w:val="009E1A3D"/>
    <w:rsid w:val="009E5A0B"/>
    <w:rsid w:val="009F0BDC"/>
    <w:rsid w:val="009F4006"/>
    <w:rsid w:val="00A019ED"/>
    <w:rsid w:val="00A02F34"/>
    <w:rsid w:val="00A06458"/>
    <w:rsid w:val="00A06526"/>
    <w:rsid w:val="00A0701E"/>
    <w:rsid w:val="00A11547"/>
    <w:rsid w:val="00A17C97"/>
    <w:rsid w:val="00A23FCA"/>
    <w:rsid w:val="00A26907"/>
    <w:rsid w:val="00A275E4"/>
    <w:rsid w:val="00A32FD9"/>
    <w:rsid w:val="00A417A0"/>
    <w:rsid w:val="00A41895"/>
    <w:rsid w:val="00A45388"/>
    <w:rsid w:val="00A463B3"/>
    <w:rsid w:val="00A47685"/>
    <w:rsid w:val="00A50696"/>
    <w:rsid w:val="00A6037E"/>
    <w:rsid w:val="00A66DD7"/>
    <w:rsid w:val="00A7205E"/>
    <w:rsid w:val="00A72338"/>
    <w:rsid w:val="00A73AFA"/>
    <w:rsid w:val="00A80DB2"/>
    <w:rsid w:val="00A85FC8"/>
    <w:rsid w:val="00A93A2C"/>
    <w:rsid w:val="00A949F8"/>
    <w:rsid w:val="00A95A71"/>
    <w:rsid w:val="00A96AEE"/>
    <w:rsid w:val="00AA2F83"/>
    <w:rsid w:val="00AA35D7"/>
    <w:rsid w:val="00AA5903"/>
    <w:rsid w:val="00AB0543"/>
    <w:rsid w:val="00AB389F"/>
    <w:rsid w:val="00AB44C9"/>
    <w:rsid w:val="00AB4950"/>
    <w:rsid w:val="00AC3F89"/>
    <w:rsid w:val="00AC592B"/>
    <w:rsid w:val="00AC722B"/>
    <w:rsid w:val="00AD45B6"/>
    <w:rsid w:val="00AD4CD8"/>
    <w:rsid w:val="00AD544D"/>
    <w:rsid w:val="00AD6129"/>
    <w:rsid w:val="00AD777E"/>
    <w:rsid w:val="00AE09A9"/>
    <w:rsid w:val="00AE2724"/>
    <w:rsid w:val="00AE4139"/>
    <w:rsid w:val="00AE54F8"/>
    <w:rsid w:val="00AE7165"/>
    <w:rsid w:val="00AF080B"/>
    <w:rsid w:val="00AF3990"/>
    <w:rsid w:val="00AF56E2"/>
    <w:rsid w:val="00B007D4"/>
    <w:rsid w:val="00B01627"/>
    <w:rsid w:val="00B059C7"/>
    <w:rsid w:val="00B05F01"/>
    <w:rsid w:val="00B0694C"/>
    <w:rsid w:val="00B07AC0"/>
    <w:rsid w:val="00B15D0B"/>
    <w:rsid w:val="00B1788C"/>
    <w:rsid w:val="00B21121"/>
    <w:rsid w:val="00B32AF4"/>
    <w:rsid w:val="00B33316"/>
    <w:rsid w:val="00B351F8"/>
    <w:rsid w:val="00B37379"/>
    <w:rsid w:val="00B40354"/>
    <w:rsid w:val="00B40747"/>
    <w:rsid w:val="00B42C10"/>
    <w:rsid w:val="00B44D1E"/>
    <w:rsid w:val="00B46C84"/>
    <w:rsid w:val="00B46D31"/>
    <w:rsid w:val="00B474EE"/>
    <w:rsid w:val="00B5028E"/>
    <w:rsid w:val="00B57801"/>
    <w:rsid w:val="00B6266B"/>
    <w:rsid w:val="00B62A48"/>
    <w:rsid w:val="00B62BF6"/>
    <w:rsid w:val="00B6348A"/>
    <w:rsid w:val="00B80DA6"/>
    <w:rsid w:val="00B848D9"/>
    <w:rsid w:val="00B964A5"/>
    <w:rsid w:val="00B9731B"/>
    <w:rsid w:val="00BA36A0"/>
    <w:rsid w:val="00BA71AC"/>
    <w:rsid w:val="00BA7E29"/>
    <w:rsid w:val="00BB0DE5"/>
    <w:rsid w:val="00BB71DD"/>
    <w:rsid w:val="00BB7E64"/>
    <w:rsid w:val="00BC074A"/>
    <w:rsid w:val="00BC1DAF"/>
    <w:rsid w:val="00BC37D3"/>
    <w:rsid w:val="00BD39C5"/>
    <w:rsid w:val="00BD6846"/>
    <w:rsid w:val="00BD6F8A"/>
    <w:rsid w:val="00BE0913"/>
    <w:rsid w:val="00BE63EC"/>
    <w:rsid w:val="00BE6EF4"/>
    <w:rsid w:val="00BE6FBB"/>
    <w:rsid w:val="00BF4F63"/>
    <w:rsid w:val="00C02226"/>
    <w:rsid w:val="00C03F47"/>
    <w:rsid w:val="00C075E8"/>
    <w:rsid w:val="00C10D89"/>
    <w:rsid w:val="00C15F40"/>
    <w:rsid w:val="00C261FD"/>
    <w:rsid w:val="00C27480"/>
    <w:rsid w:val="00C30DFB"/>
    <w:rsid w:val="00C33847"/>
    <w:rsid w:val="00C35370"/>
    <w:rsid w:val="00C369AB"/>
    <w:rsid w:val="00C416A9"/>
    <w:rsid w:val="00C467B5"/>
    <w:rsid w:val="00C47E9C"/>
    <w:rsid w:val="00C51219"/>
    <w:rsid w:val="00C53C1E"/>
    <w:rsid w:val="00C57F96"/>
    <w:rsid w:val="00C613A0"/>
    <w:rsid w:val="00C61892"/>
    <w:rsid w:val="00C62653"/>
    <w:rsid w:val="00C64684"/>
    <w:rsid w:val="00C71427"/>
    <w:rsid w:val="00C72919"/>
    <w:rsid w:val="00C72CBC"/>
    <w:rsid w:val="00C73D8F"/>
    <w:rsid w:val="00C75115"/>
    <w:rsid w:val="00C80AA2"/>
    <w:rsid w:val="00C84F09"/>
    <w:rsid w:val="00C90F4B"/>
    <w:rsid w:val="00C942E4"/>
    <w:rsid w:val="00C9587C"/>
    <w:rsid w:val="00CA63EE"/>
    <w:rsid w:val="00CA6970"/>
    <w:rsid w:val="00CB113D"/>
    <w:rsid w:val="00CC0045"/>
    <w:rsid w:val="00CC084A"/>
    <w:rsid w:val="00CC3E5B"/>
    <w:rsid w:val="00CD29BE"/>
    <w:rsid w:val="00CD56F9"/>
    <w:rsid w:val="00CD5CFD"/>
    <w:rsid w:val="00CD5F06"/>
    <w:rsid w:val="00CD764F"/>
    <w:rsid w:val="00CE072D"/>
    <w:rsid w:val="00CE2DAF"/>
    <w:rsid w:val="00CE4A9E"/>
    <w:rsid w:val="00CE6B7F"/>
    <w:rsid w:val="00CF05FD"/>
    <w:rsid w:val="00CF37E5"/>
    <w:rsid w:val="00CF63E0"/>
    <w:rsid w:val="00CF64B2"/>
    <w:rsid w:val="00CF7D40"/>
    <w:rsid w:val="00D01C99"/>
    <w:rsid w:val="00D026A1"/>
    <w:rsid w:val="00D04229"/>
    <w:rsid w:val="00D04940"/>
    <w:rsid w:val="00D102F9"/>
    <w:rsid w:val="00D11789"/>
    <w:rsid w:val="00D20C5C"/>
    <w:rsid w:val="00D241A3"/>
    <w:rsid w:val="00D3004B"/>
    <w:rsid w:val="00D32DC1"/>
    <w:rsid w:val="00D3403F"/>
    <w:rsid w:val="00D3504E"/>
    <w:rsid w:val="00D35B73"/>
    <w:rsid w:val="00D36D33"/>
    <w:rsid w:val="00D45A85"/>
    <w:rsid w:val="00D50B06"/>
    <w:rsid w:val="00D51C99"/>
    <w:rsid w:val="00D51EF4"/>
    <w:rsid w:val="00D533CC"/>
    <w:rsid w:val="00D57379"/>
    <w:rsid w:val="00D57514"/>
    <w:rsid w:val="00D611F1"/>
    <w:rsid w:val="00D633B7"/>
    <w:rsid w:val="00D64127"/>
    <w:rsid w:val="00D74D5A"/>
    <w:rsid w:val="00D7506A"/>
    <w:rsid w:val="00D81AF4"/>
    <w:rsid w:val="00D822F7"/>
    <w:rsid w:val="00D83431"/>
    <w:rsid w:val="00D83AF0"/>
    <w:rsid w:val="00D86160"/>
    <w:rsid w:val="00D90558"/>
    <w:rsid w:val="00D9067E"/>
    <w:rsid w:val="00D91A0E"/>
    <w:rsid w:val="00D91EF1"/>
    <w:rsid w:val="00D9530C"/>
    <w:rsid w:val="00DA0CA5"/>
    <w:rsid w:val="00DA0D66"/>
    <w:rsid w:val="00DA2006"/>
    <w:rsid w:val="00DA2677"/>
    <w:rsid w:val="00DA5D6B"/>
    <w:rsid w:val="00DC1547"/>
    <w:rsid w:val="00DC1B30"/>
    <w:rsid w:val="00DC32F7"/>
    <w:rsid w:val="00DC6175"/>
    <w:rsid w:val="00DD00E4"/>
    <w:rsid w:val="00DD091E"/>
    <w:rsid w:val="00DE3B9C"/>
    <w:rsid w:val="00DE5213"/>
    <w:rsid w:val="00DF16DA"/>
    <w:rsid w:val="00DF1C10"/>
    <w:rsid w:val="00DF2425"/>
    <w:rsid w:val="00DF27C9"/>
    <w:rsid w:val="00DF6860"/>
    <w:rsid w:val="00E00D78"/>
    <w:rsid w:val="00E16D25"/>
    <w:rsid w:val="00E17FBC"/>
    <w:rsid w:val="00E2129F"/>
    <w:rsid w:val="00E21F51"/>
    <w:rsid w:val="00E23187"/>
    <w:rsid w:val="00E2630A"/>
    <w:rsid w:val="00E27CB7"/>
    <w:rsid w:val="00E300B0"/>
    <w:rsid w:val="00E32B14"/>
    <w:rsid w:val="00E352E3"/>
    <w:rsid w:val="00E4262F"/>
    <w:rsid w:val="00E43CB6"/>
    <w:rsid w:val="00E44BA2"/>
    <w:rsid w:val="00E5193B"/>
    <w:rsid w:val="00E55C35"/>
    <w:rsid w:val="00E612DB"/>
    <w:rsid w:val="00E63526"/>
    <w:rsid w:val="00E64E15"/>
    <w:rsid w:val="00E65291"/>
    <w:rsid w:val="00E66198"/>
    <w:rsid w:val="00E7251F"/>
    <w:rsid w:val="00E72768"/>
    <w:rsid w:val="00E728E8"/>
    <w:rsid w:val="00E73EA9"/>
    <w:rsid w:val="00E75705"/>
    <w:rsid w:val="00E77187"/>
    <w:rsid w:val="00E82833"/>
    <w:rsid w:val="00E87A7B"/>
    <w:rsid w:val="00E929FA"/>
    <w:rsid w:val="00E93A60"/>
    <w:rsid w:val="00E94411"/>
    <w:rsid w:val="00EA0CA5"/>
    <w:rsid w:val="00EA27B4"/>
    <w:rsid w:val="00EA31CB"/>
    <w:rsid w:val="00EA53B7"/>
    <w:rsid w:val="00EA6783"/>
    <w:rsid w:val="00EB07F1"/>
    <w:rsid w:val="00EB0D37"/>
    <w:rsid w:val="00EB32DB"/>
    <w:rsid w:val="00EB38E7"/>
    <w:rsid w:val="00EB40CF"/>
    <w:rsid w:val="00EB4911"/>
    <w:rsid w:val="00EB4989"/>
    <w:rsid w:val="00EB53F3"/>
    <w:rsid w:val="00EB71E0"/>
    <w:rsid w:val="00EC6560"/>
    <w:rsid w:val="00ED0507"/>
    <w:rsid w:val="00EE2FE4"/>
    <w:rsid w:val="00EE493C"/>
    <w:rsid w:val="00EE5DDF"/>
    <w:rsid w:val="00EE65A9"/>
    <w:rsid w:val="00EF1898"/>
    <w:rsid w:val="00EF1D07"/>
    <w:rsid w:val="00EF1D28"/>
    <w:rsid w:val="00EF562F"/>
    <w:rsid w:val="00EF76EB"/>
    <w:rsid w:val="00F069C3"/>
    <w:rsid w:val="00F14FB9"/>
    <w:rsid w:val="00F15292"/>
    <w:rsid w:val="00F15B61"/>
    <w:rsid w:val="00F16ADE"/>
    <w:rsid w:val="00F20EF5"/>
    <w:rsid w:val="00F22CF0"/>
    <w:rsid w:val="00F23D70"/>
    <w:rsid w:val="00F25A8C"/>
    <w:rsid w:val="00F2795F"/>
    <w:rsid w:val="00F31415"/>
    <w:rsid w:val="00F44474"/>
    <w:rsid w:val="00F47617"/>
    <w:rsid w:val="00F50182"/>
    <w:rsid w:val="00F52632"/>
    <w:rsid w:val="00F541B7"/>
    <w:rsid w:val="00F547F2"/>
    <w:rsid w:val="00F57291"/>
    <w:rsid w:val="00F65091"/>
    <w:rsid w:val="00F6653C"/>
    <w:rsid w:val="00F67AAA"/>
    <w:rsid w:val="00F715A5"/>
    <w:rsid w:val="00F76F8A"/>
    <w:rsid w:val="00F804C9"/>
    <w:rsid w:val="00F80F80"/>
    <w:rsid w:val="00F8354B"/>
    <w:rsid w:val="00F8699E"/>
    <w:rsid w:val="00FA0673"/>
    <w:rsid w:val="00FA0FC0"/>
    <w:rsid w:val="00FA411F"/>
    <w:rsid w:val="00FA580A"/>
    <w:rsid w:val="00FC0603"/>
    <w:rsid w:val="00FC1F7A"/>
    <w:rsid w:val="00FC5361"/>
    <w:rsid w:val="00FC6597"/>
    <w:rsid w:val="00FC75DA"/>
    <w:rsid w:val="00FD3190"/>
    <w:rsid w:val="00FD394C"/>
    <w:rsid w:val="00FD5F7B"/>
    <w:rsid w:val="00FD6ACA"/>
    <w:rsid w:val="00FD6EFC"/>
    <w:rsid w:val="00FD78D8"/>
    <w:rsid w:val="00FE111F"/>
    <w:rsid w:val="00FE2DD7"/>
    <w:rsid w:val="00FE36C9"/>
    <w:rsid w:val="00FE4DA6"/>
    <w:rsid w:val="00FE58AB"/>
    <w:rsid w:val="00FF395A"/>
    <w:rsid w:val="00FF700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4CA82"/>
  <w15:docId w15:val="{8C1076A5-DAB9-4EC8-8607-91E18135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Arial Unicode MS"/>
      <w:sz w:val="28"/>
      <w:szCs w:val="28"/>
    </w:rPr>
  </w:style>
  <w:style w:type="paragraph" w:styleId="Corpodetexto">
    <w:name w:val="Body Text"/>
    <w:basedOn w:val="Normal"/>
    <w:pPr>
      <w:spacing w:after="140" w:line="276" w:lineRule="auto"/>
    </w:pPr>
  </w:style>
  <w:style w:type="paragraph" w:styleId="Lista">
    <w:name w:val="List"/>
    <w:basedOn w:val="Corpodetexto"/>
    <w:rPr>
      <w:rFonts w:cs="Arial Unicode MS"/>
    </w:rPr>
  </w:style>
  <w:style w:type="paragraph" w:styleId="Legenda">
    <w:name w:val="caption"/>
    <w:basedOn w:val="Normal"/>
    <w:qFormat/>
    <w:pPr>
      <w:suppressLineNumbers/>
      <w:spacing w:before="120" w:after="120"/>
    </w:pPr>
    <w:rPr>
      <w:rFonts w:cs="Arial Unicode MS"/>
      <w:i/>
      <w:iCs/>
      <w:sz w:val="24"/>
      <w:szCs w:val="24"/>
    </w:rPr>
  </w:style>
  <w:style w:type="paragraph" w:customStyle="1" w:styleId="ndice">
    <w:name w:val="Índice"/>
    <w:basedOn w:val="Normal"/>
    <w:qFormat/>
    <w:pPr>
      <w:suppressLineNumbers/>
    </w:pPr>
    <w:rPr>
      <w:rFonts w:cs="Arial Unicode MS"/>
    </w:rPr>
  </w:style>
  <w:style w:type="paragraph" w:styleId="PargrafodaLista">
    <w:name w:val="List Paragraph"/>
    <w:basedOn w:val="Normal"/>
    <w:uiPriority w:val="34"/>
    <w:qFormat/>
    <w:pPr>
      <w:ind w:left="720"/>
      <w:contextualSpacing/>
    </w:pPr>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styleId="Tabelacomgrade">
    <w:name w:val="Table Grid"/>
    <w:basedOn w:val="Tabe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deGrade5Escura-nfase1">
    <w:name w:val="Grid Table 5 Dark Accent 1"/>
    <w:basedOn w:val="Tabela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eladeGrade4-nfase1">
    <w:name w:val="Grid Table 4 Accent 1"/>
    <w:basedOn w:val="Tabelanormal"/>
    <w:uiPriority w:val="4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deGrade1Clara-nfase5">
    <w:name w:val="Grid Table 1 Light Accent 5"/>
    <w:basedOn w:val="Tabelanormal"/>
    <w:uiPriority w:val="46"/>
    <w:rsid w:val="00A45388"/>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eladeGrade4-nfase5">
    <w:name w:val="Grid Table 4 Accent 5"/>
    <w:basedOn w:val="Tabelanormal"/>
    <w:uiPriority w:val="49"/>
    <w:rsid w:val="009D5F5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deGrade1Clara-nfase1">
    <w:name w:val="Grid Table 1 Light Accent 1"/>
    <w:basedOn w:val="Tabelanormal"/>
    <w:uiPriority w:val="46"/>
    <w:rsid w:val="00664E6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ListaColorida-nfase6">
    <w:name w:val="Colorful List Accent 6"/>
    <w:basedOn w:val="Tabelanormal"/>
    <w:uiPriority w:val="72"/>
    <w:rsid w:val="00CA6970"/>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Cabealho">
    <w:name w:val="header"/>
    <w:basedOn w:val="Normal"/>
    <w:link w:val="CabealhoChar"/>
    <w:uiPriority w:val="99"/>
    <w:unhideWhenUsed/>
    <w:rsid w:val="003C6DC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C6DCE"/>
  </w:style>
  <w:style w:type="paragraph" w:styleId="Rodap">
    <w:name w:val="footer"/>
    <w:basedOn w:val="Normal"/>
    <w:link w:val="RodapChar"/>
    <w:uiPriority w:val="99"/>
    <w:unhideWhenUsed/>
    <w:rsid w:val="003C6DCE"/>
    <w:pPr>
      <w:tabs>
        <w:tab w:val="center" w:pos="4252"/>
        <w:tab w:val="right" w:pos="8504"/>
      </w:tabs>
      <w:spacing w:after="0" w:line="240" w:lineRule="auto"/>
    </w:pPr>
  </w:style>
  <w:style w:type="character" w:customStyle="1" w:styleId="RodapChar">
    <w:name w:val="Rodapé Char"/>
    <w:basedOn w:val="Fontepargpadro"/>
    <w:link w:val="Rodap"/>
    <w:uiPriority w:val="99"/>
    <w:rsid w:val="003C6DCE"/>
  </w:style>
  <w:style w:type="table" w:styleId="TabeladeGrade6Colorida-nfase5">
    <w:name w:val="Grid Table 6 Colorful Accent 5"/>
    <w:basedOn w:val="Tabelanormal"/>
    <w:uiPriority w:val="51"/>
    <w:rsid w:val="00D51C99"/>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Hyperlink">
    <w:name w:val="Hyperlink"/>
    <w:basedOn w:val="Fontepargpadro"/>
    <w:uiPriority w:val="99"/>
    <w:semiHidden/>
    <w:unhideWhenUsed/>
    <w:rsid w:val="00B6266B"/>
    <w:rPr>
      <w:color w:val="0563C1"/>
      <w:u w:val="single"/>
    </w:rPr>
  </w:style>
  <w:style w:type="character" w:styleId="HiperlinkVisitado">
    <w:name w:val="FollowedHyperlink"/>
    <w:basedOn w:val="Fontepargpadro"/>
    <w:uiPriority w:val="99"/>
    <w:semiHidden/>
    <w:unhideWhenUsed/>
    <w:rsid w:val="00B6266B"/>
    <w:rPr>
      <w:color w:val="954F72"/>
      <w:u w:val="single"/>
    </w:rPr>
  </w:style>
  <w:style w:type="paragraph" w:customStyle="1" w:styleId="msonormal0">
    <w:name w:val="msonormal"/>
    <w:basedOn w:val="Normal"/>
    <w:rsid w:val="00B6266B"/>
    <w:pPr>
      <w:suppressAutoHyphens w:val="0"/>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3">
    <w:name w:val="xl63"/>
    <w:basedOn w:val="Normal"/>
    <w:rsid w:val="00B6266B"/>
    <w:pPr>
      <w:shd w:val="clear" w:color="000000" w:fill="FFFFFF"/>
      <w:suppressAutoHyphens w:val="0"/>
      <w:spacing w:before="100" w:beforeAutospacing="1" w:after="100" w:afterAutospacing="1" w:line="240" w:lineRule="auto"/>
      <w:textAlignment w:val="top"/>
    </w:pPr>
    <w:rPr>
      <w:rFonts w:ascii="SansSerif" w:eastAsia="Times New Roman" w:hAnsi="SansSerif" w:cs="Times New Roman"/>
      <w:color w:val="000000"/>
      <w:sz w:val="18"/>
      <w:szCs w:val="18"/>
      <w:lang w:eastAsia="pt-BR"/>
    </w:rPr>
  </w:style>
  <w:style w:type="paragraph" w:customStyle="1" w:styleId="xl64">
    <w:name w:val="xl64"/>
    <w:basedOn w:val="Normal"/>
    <w:rsid w:val="00B6266B"/>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jc w:val="center"/>
      <w:textAlignment w:val="center"/>
    </w:pPr>
    <w:rPr>
      <w:rFonts w:ascii="Times New Roman" w:eastAsia="Times New Roman" w:hAnsi="Times New Roman" w:cs="Times New Roman"/>
      <w:color w:val="000000"/>
      <w:sz w:val="10"/>
      <w:szCs w:val="10"/>
      <w:lang w:eastAsia="pt-BR"/>
    </w:rPr>
  </w:style>
  <w:style w:type="paragraph" w:customStyle="1" w:styleId="xl65">
    <w:name w:val="xl65"/>
    <w:basedOn w:val="Normal"/>
    <w:rsid w:val="00B6266B"/>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000000"/>
      <w:sz w:val="10"/>
      <w:szCs w:val="10"/>
      <w:lang w:eastAsia="pt-BR"/>
    </w:rPr>
  </w:style>
  <w:style w:type="paragraph" w:customStyle="1" w:styleId="xl66">
    <w:name w:val="xl66"/>
    <w:basedOn w:val="Normal"/>
    <w:rsid w:val="00B6266B"/>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b/>
      <w:bCs/>
      <w:color w:val="000000"/>
      <w:sz w:val="10"/>
      <w:szCs w:val="10"/>
      <w:lang w:eastAsia="pt-BR"/>
    </w:rPr>
  </w:style>
  <w:style w:type="paragraph" w:customStyle="1" w:styleId="xl67">
    <w:name w:val="xl67"/>
    <w:basedOn w:val="Normal"/>
    <w:rsid w:val="00B6266B"/>
    <w:pPr>
      <w:pBdr>
        <w:left w:val="single" w:sz="4" w:space="0" w:color="000000"/>
        <w:right w:val="single" w:sz="4" w:space="0" w:color="000000"/>
      </w:pBdr>
      <w:shd w:val="clear" w:color="000000" w:fill="FFFFFF"/>
      <w:suppressAutoHyphens w:val="0"/>
      <w:spacing w:before="100" w:beforeAutospacing="1" w:after="100" w:afterAutospacing="1" w:line="240" w:lineRule="auto"/>
      <w:textAlignment w:val="top"/>
    </w:pPr>
    <w:rPr>
      <w:rFonts w:ascii="Times New Roman" w:eastAsia="Times New Roman" w:hAnsi="Times New Roman" w:cs="Times New Roman"/>
      <w:b/>
      <w:bCs/>
      <w:color w:val="000000"/>
      <w:sz w:val="10"/>
      <w:szCs w:val="10"/>
      <w:lang w:eastAsia="pt-BR"/>
    </w:rPr>
  </w:style>
  <w:style w:type="paragraph" w:customStyle="1" w:styleId="xl68">
    <w:name w:val="xl68"/>
    <w:basedOn w:val="Normal"/>
    <w:rsid w:val="00B6266B"/>
    <w:pPr>
      <w:pBdr>
        <w:left w:val="single" w:sz="4" w:space="0" w:color="000000"/>
        <w:right w:val="single" w:sz="4" w:space="0" w:color="000000"/>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b/>
      <w:bCs/>
      <w:color w:val="000000"/>
      <w:sz w:val="10"/>
      <w:szCs w:val="10"/>
      <w:lang w:eastAsia="pt-BR"/>
    </w:rPr>
  </w:style>
  <w:style w:type="paragraph" w:customStyle="1" w:styleId="xl69">
    <w:name w:val="xl69"/>
    <w:basedOn w:val="Normal"/>
    <w:rsid w:val="00B6266B"/>
    <w:pPr>
      <w:pBdr>
        <w:left w:val="single" w:sz="4" w:space="0" w:color="000000"/>
        <w:right w:val="single" w:sz="4" w:space="0" w:color="000000"/>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b/>
      <w:bCs/>
      <w:color w:val="000000"/>
      <w:sz w:val="10"/>
      <w:szCs w:val="10"/>
      <w:lang w:eastAsia="pt-BR"/>
    </w:rPr>
  </w:style>
  <w:style w:type="paragraph" w:customStyle="1" w:styleId="xl70">
    <w:name w:val="xl70"/>
    <w:basedOn w:val="Normal"/>
    <w:rsid w:val="00B6266B"/>
    <w:pPr>
      <w:pBdr>
        <w:left w:val="single" w:sz="4" w:space="0" w:color="000000"/>
        <w:right w:val="single" w:sz="4" w:space="0" w:color="000000"/>
      </w:pBdr>
      <w:shd w:val="clear" w:color="000000" w:fill="FFFFFF"/>
      <w:suppressAutoHyphens w:val="0"/>
      <w:spacing w:before="100" w:beforeAutospacing="1" w:after="100" w:afterAutospacing="1" w:line="240" w:lineRule="auto"/>
      <w:textAlignment w:val="top"/>
    </w:pPr>
    <w:rPr>
      <w:rFonts w:ascii="Times New Roman" w:eastAsia="Times New Roman" w:hAnsi="Times New Roman" w:cs="Times New Roman"/>
      <w:color w:val="000000"/>
      <w:sz w:val="10"/>
      <w:szCs w:val="10"/>
      <w:lang w:eastAsia="pt-BR"/>
    </w:rPr>
  </w:style>
  <w:style w:type="paragraph" w:customStyle="1" w:styleId="xl71">
    <w:name w:val="xl71"/>
    <w:basedOn w:val="Normal"/>
    <w:rsid w:val="00B6266B"/>
    <w:pPr>
      <w:pBdr>
        <w:left w:val="single" w:sz="4" w:space="0" w:color="000000"/>
        <w:right w:val="single" w:sz="4" w:space="0" w:color="000000"/>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color w:val="000000"/>
      <w:sz w:val="10"/>
      <w:szCs w:val="10"/>
      <w:lang w:eastAsia="pt-BR"/>
    </w:rPr>
  </w:style>
  <w:style w:type="paragraph" w:customStyle="1" w:styleId="xl72">
    <w:name w:val="xl72"/>
    <w:basedOn w:val="Normal"/>
    <w:rsid w:val="00B6266B"/>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b/>
      <w:bCs/>
      <w:color w:val="000000"/>
      <w:sz w:val="10"/>
      <w:szCs w:val="10"/>
      <w:lang w:eastAsia="pt-BR"/>
    </w:rPr>
  </w:style>
  <w:style w:type="paragraph" w:customStyle="1" w:styleId="xl73">
    <w:name w:val="xl73"/>
    <w:basedOn w:val="Normal"/>
    <w:rsid w:val="00B6266B"/>
    <w:pPr>
      <w:pBdr>
        <w:left w:val="single" w:sz="4" w:space="0" w:color="000000"/>
        <w:right w:val="single" w:sz="4" w:space="0" w:color="000000"/>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color w:val="000000"/>
      <w:sz w:val="10"/>
      <w:szCs w:val="10"/>
      <w:lang w:eastAsia="pt-BR"/>
    </w:rPr>
  </w:style>
  <w:style w:type="paragraph" w:customStyle="1" w:styleId="xl74">
    <w:name w:val="xl74"/>
    <w:basedOn w:val="Normal"/>
    <w:rsid w:val="00B6266B"/>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textAlignment w:val="top"/>
    </w:pPr>
    <w:rPr>
      <w:rFonts w:ascii="Times New Roman" w:eastAsia="Times New Roman" w:hAnsi="Times New Roman" w:cs="Times New Roman"/>
      <w:b/>
      <w:bCs/>
      <w:color w:val="000000"/>
      <w:sz w:val="10"/>
      <w:szCs w:val="10"/>
      <w:lang w:eastAsia="pt-BR"/>
    </w:rPr>
  </w:style>
  <w:style w:type="paragraph" w:customStyle="1" w:styleId="xl75">
    <w:name w:val="xl75"/>
    <w:basedOn w:val="Normal"/>
    <w:rsid w:val="00B6266B"/>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b/>
      <w:bCs/>
      <w:color w:val="000000"/>
      <w:sz w:val="10"/>
      <w:szCs w:val="10"/>
      <w:lang w:eastAsia="pt-BR"/>
    </w:rPr>
  </w:style>
  <w:style w:type="paragraph" w:customStyle="1" w:styleId="xl76">
    <w:name w:val="xl76"/>
    <w:basedOn w:val="Normal"/>
    <w:rsid w:val="00B6266B"/>
    <w:pPr>
      <w:pBdr>
        <w:top w:val="single" w:sz="4" w:space="0" w:color="000000"/>
      </w:pBdr>
      <w:shd w:val="clear" w:color="000000" w:fill="FFFFFF"/>
      <w:suppressAutoHyphens w:val="0"/>
      <w:spacing w:before="100" w:beforeAutospacing="1" w:after="100" w:afterAutospacing="1" w:line="240" w:lineRule="auto"/>
      <w:textAlignment w:val="top"/>
    </w:pPr>
    <w:rPr>
      <w:rFonts w:ascii="SansSerif" w:eastAsia="Times New Roman" w:hAnsi="SansSerif" w:cs="Times New Roman"/>
      <w:color w:val="000000"/>
      <w:sz w:val="18"/>
      <w:szCs w:val="18"/>
      <w:lang w:eastAsia="pt-BR"/>
    </w:rPr>
  </w:style>
  <w:style w:type="paragraph" w:customStyle="1" w:styleId="xl77">
    <w:name w:val="xl77"/>
    <w:basedOn w:val="Normal"/>
    <w:rsid w:val="00B6266B"/>
    <w:pPr>
      <w:shd w:val="clear" w:color="000000" w:fill="FFFFFF"/>
      <w:suppressAutoHyphens w:val="0"/>
      <w:spacing w:before="100" w:beforeAutospacing="1" w:after="100" w:afterAutospacing="1" w:line="240" w:lineRule="auto"/>
      <w:textAlignment w:val="center"/>
    </w:pPr>
    <w:rPr>
      <w:rFonts w:ascii="Times New Roman" w:eastAsia="Times New Roman" w:hAnsi="Times New Roman" w:cs="Times New Roman"/>
      <w:color w:val="000000"/>
      <w:sz w:val="10"/>
      <w:szCs w:val="10"/>
      <w:lang w:eastAsia="pt-BR"/>
    </w:rPr>
  </w:style>
  <w:style w:type="paragraph" w:customStyle="1" w:styleId="xl78">
    <w:name w:val="xl78"/>
    <w:basedOn w:val="Normal"/>
    <w:rsid w:val="00B6266B"/>
    <w:pPr>
      <w:shd w:val="clear" w:color="000000" w:fill="FFFFFF"/>
      <w:suppressAutoHyphens w:val="0"/>
      <w:spacing w:before="100" w:beforeAutospacing="1" w:after="100" w:afterAutospacing="1" w:line="240" w:lineRule="auto"/>
      <w:textAlignment w:val="center"/>
    </w:pPr>
    <w:rPr>
      <w:rFonts w:ascii="Verdana" w:eastAsia="Times New Roman" w:hAnsi="Verdana" w:cs="Times New Roman"/>
      <w:color w:val="000000"/>
      <w:sz w:val="10"/>
      <w:szCs w:val="10"/>
      <w:lang w:eastAsia="pt-BR"/>
    </w:rPr>
  </w:style>
  <w:style w:type="paragraph" w:customStyle="1" w:styleId="xl79">
    <w:name w:val="xl79"/>
    <w:basedOn w:val="Normal"/>
    <w:rsid w:val="00B6266B"/>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jc w:val="center"/>
      <w:textAlignment w:val="center"/>
    </w:pPr>
    <w:rPr>
      <w:rFonts w:ascii="Verdana" w:eastAsia="Times New Roman" w:hAnsi="Verdana" w:cs="Times New Roman"/>
      <w:color w:val="000000"/>
      <w:sz w:val="10"/>
      <w:szCs w:val="10"/>
      <w:lang w:eastAsia="pt-BR"/>
    </w:rPr>
  </w:style>
  <w:style w:type="paragraph" w:customStyle="1" w:styleId="xl80">
    <w:name w:val="xl80"/>
    <w:basedOn w:val="Normal"/>
    <w:rsid w:val="00B6266B"/>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line="240" w:lineRule="auto"/>
      <w:textAlignment w:val="top"/>
    </w:pPr>
    <w:rPr>
      <w:rFonts w:ascii="Times New Roman" w:eastAsia="Times New Roman" w:hAnsi="Times New Roman" w:cs="Times New Roman"/>
      <w:b/>
      <w:bCs/>
      <w:color w:val="000000"/>
      <w:sz w:val="10"/>
      <w:szCs w:val="10"/>
      <w:lang w:eastAsia="pt-BR"/>
    </w:rPr>
  </w:style>
  <w:style w:type="paragraph" w:customStyle="1" w:styleId="xl81">
    <w:name w:val="xl81"/>
    <w:basedOn w:val="Normal"/>
    <w:rsid w:val="00B6266B"/>
    <w:pPr>
      <w:shd w:val="clear" w:color="000000" w:fill="FFFFFF"/>
      <w:suppressAutoHyphens w:val="0"/>
      <w:spacing w:before="100" w:beforeAutospacing="1" w:after="100" w:afterAutospacing="1" w:line="240" w:lineRule="auto"/>
      <w:textAlignment w:val="center"/>
    </w:pPr>
    <w:rPr>
      <w:rFonts w:ascii="SansSerif" w:eastAsia="Times New Roman" w:hAnsi="SansSerif" w:cs="Times New Roman"/>
      <w:color w:val="000000"/>
      <w:sz w:val="10"/>
      <w:szCs w:val="10"/>
      <w:lang w:eastAsia="pt-BR"/>
    </w:rPr>
  </w:style>
  <w:style w:type="paragraph" w:customStyle="1" w:styleId="xl82">
    <w:name w:val="xl82"/>
    <w:basedOn w:val="Normal"/>
    <w:rsid w:val="00B6266B"/>
    <w:pPr>
      <w:shd w:val="clear" w:color="000000" w:fill="FFFFFF"/>
      <w:suppressAutoHyphens w:val="0"/>
      <w:spacing w:before="100" w:beforeAutospacing="1" w:after="100" w:afterAutospacing="1" w:line="240" w:lineRule="auto"/>
      <w:textAlignment w:val="top"/>
    </w:pPr>
    <w:rPr>
      <w:rFonts w:ascii="SansSerif" w:eastAsia="Times New Roman" w:hAnsi="SansSerif" w:cs="Times New Roman"/>
      <w:b/>
      <w:bCs/>
      <w:color w:val="000000"/>
      <w:sz w:val="14"/>
      <w:szCs w:val="14"/>
      <w:lang w:eastAsia="pt-BR"/>
    </w:rPr>
  </w:style>
  <w:style w:type="paragraph" w:customStyle="1" w:styleId="xl83">
    <w:name w:val="xl83"/>
    <w:basedOn w:val="Normal"/>
    <w:rsid w:val="00B6266B"/>
    <w:pPr>
      <w:shd w:val="clear" w:color="000000" w:fill="FFFFFF"/>
      <w:suppressAutoHyphens w:val="0"/>
      <w:spacing w:before="100" w:beforeAutospacing="1" w:after="100" w:afterAutospacing="1" w:line="240" w:lineRule="auto"/>
      <w:textAlignment w:val="top"/>
    </w:pPr>
    <w:rPr>
      <w:rFonts w:ascii="SansSerif" w:eastAsia="Times New Roman" w:hAnsi="SansSerif" w:cs="Times New Roman"/>
      <w:b/>
      <w:bCs/>
      <w:color w:val="000000"/>
      <w:sz w:val="10"/>
      <w:szCs w:val="10"/>
      <w:lang w:eastAsia="pt-BR"/>
    </w:rPr>
  </w:style>
  <w:style w:type="paragraph" w:customStyle="1" w:styleId="xl84">
    <w:name w:val="xl84"/>
    <w:basedOn w:val="Normal"/>
    <w:rsid w:val="005243B7"/>
    <w:pPr>
      <w:shd w:val="clear" w:color="000000" w:fill="FFFFFF"/>
      <w:suppressAutoHyphens w:val="0"/>
      <w:spacing w:before="100" w:beforeAutospacing="1" w:after="100" w:afterAutospacing="1" w:line="240" w:lineRule="auto"/>
      <w:textAlignment w:val="top"/>
    </w:pPr>
    <w:rPr>
      <w:rFonts w:ascii="SansSerif" w:eastAsia="Times New Roman" w:hAnsi="SansSerif" w:cs="Times New Roman"/>
      <w:b/>
      <w:bCs/>
      <w:color w:val="000000"/>
      <w:sz w:val="14"/>
      <w:szCs w:val="14"/>
      <w:lang w:eastAsia="pt-BR"/>
    </w:rPr>
  </w:style>
  <w:style w:type="paragraph" w:customStyle="1" w:styleId="xl85">
    <w:name w:val="xl85"/>
    <w:basedOn w:val="Normal"/>
    <w:rsid w:val="005243B7"/>
    <w:pPr>
      <w:shd w:val="clear" w:color="000000" w:fill="FFFFFF"/>
      <w:suppressAutoHyphens w:val="0"/>
      <w:spacing w:before="100" w:beforeAutospacing="1" w:after="100" w:afterAutospacing="1" w:line="240" w:lineRule="auto"/>
      <w:textAlignment w:val="top"/>
    </w:pPr>
    <w:rPr>
      <w:rFonts w:ascii="SansSerif" w:eastAsia="Times New Roman" w:hAnsi="SansSerif" w:cs="Times New Roman"/>
      <w:b/>
      <w:bCs/>
      <w:color w:val="000000"/>
      <w:sz w:val="10"/>
      <w:szCs w:val="10"/>
      <w:lang w:eastAsia="pt-BR"/>
    </w:rPr>
  </w:style>
  <w:style w:type="paragraph" w:customStyle="1" w:styleId="xl86">
    <w:name w:val="xl86"/>
    <w:basedOn w:val="Normal"/>
    <w:rsid w:val="00DA0CA5"/>
    <w:pPr>
      <w:pBdr>
        <w:left w:val="single" w:sz="4" w:space="0" w:color="000000"/>
        <w:right w:val="single" w:sz="4" w:space="0" w:color="000000"/>
      </w:pBdr>
      <w:shd w:val="clear" w:color="000000" w:fill="FFFFFF"/>
      <w:suppressAutoHyphens w:val="0"/>
      <w:spacing w:before="100" w:beforeAutospacing="1" w:after="100" w:afterAutospacing="1" w:line="240" w:lineRule="auto"/>
      <w:jc w:val="right"/>
      <w:textAlignment w:val="top"/>
    </w:pPr>
    <w:rPr>
      <w:rFonts w:ascii="Arial" w:eastAsia="Times New Roman" w:hAnsi="Arial" w:cs="Arial"/>
      <w:color w:val="000000"/>
      <w:sz w:val="18"/>
      <w:szCs w:val="18"/>
      <w:lang w:eastAsia="pt-BR"/>
    </w:rPr>
  </w:style>
  <w:style w:type="paragraph" w:customStyle="1" w:styleId="xl87">
    <w:name w:val="xl87"/>
    <w:basedOn w:val="Normal"/>
    <w:rsid w:val="00DA0CA5"/>
    <w:pPr>
      <w:pBdr>
        <w:left w:val="single" w:sz="4" w:space="0" w:color="000000"/>
        <w:right w:val="single" w:sz="4" w:space="0" w:color="auto"/>
      </w:pBdr>
      <w:shd w:val="clear" w:color="000000" w:fill="FFFFFF"/>
      <w:suppressAutoHyphens w:val="0"/>
      <w:spacing w:before="100" w:beforeAutospacing="1" w:after="100" w:afterAutospacing="1" w:line="240" w:lineRule="auto"/>
      <w:jc w:val="right"/>
      <w:textAlignment w:val="top"/>
    </w:pPr>
    <w:rPr>
      <w:rFonts w:ascii="Arial" w:eastAsia="Times New Roman" w:hAnsi="Arial" w:cs="Arial"/>
      <w:color w:val="000000"/>
      <w:sz w:val="18"/>
      <w:szCs w:val="18"/>
      <w:lang w:eastAsia="pt-BR"/>
    </w:rPr>
  </w:style>
  <w:style w:type="paragraph" w:customStyle="1" w:styleId="xl88">
    <w:name w:val="xl88"/>
    <w:basedOn w:val="Normal"/>
    <w:rsid w:val="00DA0CA5"/>
    <w:pPr>
      <w:pBdr>
        <w:left w:val="single" w:sz="4" w:space="0" w:color="000000"/>
        <w:right w:val="single" w:sz="4" w:space="0" w:color="auto"/>
      </w:pBdr>
      <w:shd w:val="clear" w:color="000000" w:fill="FFFFFF"/>
      <w:suppressAutoHyphens w:val="0"/>
      <w:spacing w:before="100" w:beforeAutospacing="1" w:after="100" w:afterAutospacing="1" w:line="240" w:lineRule="auto"/>
      <w:jc w:val="right"/>
      <w:textAlignment w:val="top"/>
    </w:pPr>
    <w:rPr>
      <w:rFonts w:ascii="Arial" w:eastAsia="Times New Roman" w:hAnsi="Arial" w:cs="Arial"/>
      <w:color w:val="000000"/>
      <w:sz w:val="18"/>
      <w:szCs w:val="18"/>
      <w:lang w:eastAsia="pt-BR"/>
    </w:rPr>
  </w:style>
  <w:style w:type="paragraph" w:customStyle="1" w:styleId="xl89">
    <w:name w:val="xl89"/>
    <w:basedOn w:val="Normal"/>
    <w:rsid w:val="00DA0CA5"/>
    <w:pPr>
      <w:pBdr>
        <w:left w:val="single" w:sz="4" w:space="0" w:color="000000"/>
        <w:right w:val="single" w:sz="4" w:space="0" w:color="auto"/>
      </w:pBdr>
      <w:shd w:val="clear" w:color="000000" w:fill="FFFFFF"/>
      <w:suppressAutoHyphens w:val="0"/>
      <w:spacing w:before="100" w:beforeAutospacing="1" w:after="100" w:afterAutospacing="1" w:line="240" w:lineRule="auto"/>
      <w:jc w:val="right"/>
      <w:textAlignment w:val="top"/>
    </w:pPr>
    <w:rPr>
      <w:rFonts w:ascii="Arial" w:eastAsia="Times New Roman" w:hAnsi="Arial" w:cs="Arial"/>
      <w:b/>
      <w:bCs/>
      <w:color w:val="000000"/>
      <w:sz w:val="18"/>
      <w:szCs w:val="18"/>
      <w:lang w:eastAsia="pt-BR"/>
    </w:rPr>
  </w:style>
  <w:style w:type="paragraph" w:customStyle="1" w:styleId="xl90">
    <w:name w:val="xl90"/>
    <w:basedOn w:val="Normal"/>
    <w:rsid w:val="00DA0CA5"/>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textAlignment w:val="top"/>
    </w:pPr>
    <w:rPr>
      <w:rFonts w:ascii="Arial" w:eastAsia="Times New Roman" w:hAnsi="Arial" w:cs="Arial"/>
      <w:color w:val="000000"/>
      <w:sz w:val="18"/>
      <w:szCs w:val="18"/>
      <w:lang w:eastAsia="pt-BR"/>
    </w:rPr>
  </w:style>
  <w:style w:type="paragraph" w:customStyle="1" w:styleId="xl91">
    <w:name w:val="xl91"/>
    <w:basedOn w:val="Normal"/>
    <w:rsid w:val="00DA0CA5"/>
    <w:pPr>
      <w:pBdr>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jc w:val="right"/>
      <w:textAlignment w:val="top"/>
    </w:pPr>
    <w:rPr>
      <w:rFonts w:ascii="Arial" w:eastAsia="Times New Roman" w:hAnsi="Arial" w:cs="Arial"/>
      <w:color w:val="000000"/>
      <w:sz w:val="18"/>
      <w:szCs w:val="18"/>
      <w:lang w:eastAsia="pt-BR"/>
    </w:rPr>
  </w:style>
  <w:style w:type="paragraph" w:customStyle="1" w:styleId="xl92">
    <w:name w:val="xl92"/>
    <w:basedOn w:val="Normal"/>
    <w:rsid w:val="00DA0CA5"/>
    <w:pPr>
      <w:pBdr>
        <w:top w:val="single" w:sz="4" w:space="0" w:color="000000"/>
        <w:left w:val="single" w:sz="4" w:space="0" w:color="auto"/>
        <w:bottom w:val="single" w:sz="4" w:space="0" w:color="auto"/>
        <w:right w:val="single" w:sz="4" w:space="0" w:color="000000"/>
      </w:pBdr>
      <w:shd w:val="clear" w:color="000000" w:fill="FFFFFF"/>
      <w:suppressAutoHyphens w:val="0"/>
      <w:spacing w:before="100" w:beforeAutospacing="1" w:after="100" w:afterAutospacing="1" w:line="240" w:lineRule="auto"/>
      <w:textAlignment w:val="top"/>
    </w:pPr>
    <w:rPr>
      <w:rFonts w:ascii="Arial" w:eastAsia="Times New Roman" w:hAnsi="Arial" w:cs="Arial"/>
      <w:b/>
      <w:bCs/>
      <w:color w:val="000000"/>
      <w:sz w:val="18"/>
      <w:szCs w:val="18"/>
      <w:lang w:eastAsia="pt-BR"/>
    </w:rPr>
  </w:style>
  <w:style w:type="paragraph" w:customStyle="1" w:styleId="xl93">
    <w:name w:val="xl93"/>
    <w:basedOn w:val="Normal"/>
    <w:rsid w:val="00DA0CA5"/>
    <w:pPr>
      <w:pBdr>
        <w:top w:val="single" w:sz="4" w:space="0" w:color="000000"/>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textAlignment w:val="top"/>
    </w:pPr>
    <w:rPr>
      <w:rFonts w:ascii="Arial" w:eastAsia="Times New Roman" w:hAnsi="Arial" w:cs="Arial"/>
      <w:b/>
      <w:bCs/>
      <w:color w:val="000000"/>
      <w:sz w:val="18"/>
      <w:szCs w:val="18"/>
      <w:lang w:eastAsia="pt-BR"/>
    </w:rPr>
  </w:style>
  <w:style w:type="paragraph" w:customStyle="1" w:styleId="xl94">
    <w:name w:val="xl94"/>
    <w:basedOn w:val="Normal"/>
    <w:rsid w:val="00DA0CA5"/>
    <w:pPr>
      <w:pBdr>
        <w:top w:val="single" w:sz="4" w:space="0" w:color="000000"/>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jc w:val="right"/>
      <w:textAlignment w:val="top"/>
    </w:pPr>
    <w:rPr>
      <w:rFonts w:ascii="Arial" w:eastAsia="Times New Roman" w:hAnsi="Arial" w:cs="Arial"/>
      <w:b/>
      <w:bCs/>
      <w:color w:val="000000"/>
      <w:sz w:val="18"/>
      <w:szCs w:val="18"/>
      <w:lang w:eastAsia="pt-BR"/>
    </w:rPr>
  </w:style>
  <w:style w:type="paragraph" w:customStyle="1" w:styleId="xl95">
    <w:name w:val="xl95"/>
    <w:basedOn w:val="Normal"/>
    <w:rsid w:val="00DA0CA5"/>
    <w:pPr>
      <w:pBdr>
        <w:top w:val="single" w:sz="4" w:space="0" w:color="000000"/>
        <w:left w:val="single" w:sz="4" w:space="0" w:color="000000"/>
        <w:bottom w:val="single" w:sz="4" w:space="0" w:color="auto"/>
        <w:right w:val="single" w:sz="4" w:space="0" w:color="auto"/>
      </w:pBdr>
      <w:shd w:val="clear" w:color="000000" w:fill="FFFFFF"/>
      <w:suppressAutoHyphens w:val="0"/>
      <w:spacing w:before="100" w:beforeAutospacing="1" w:after="100" w:afterAutospacing="1" w:line="240" w:lineRule="auto"/>
      <w:jc w:val="right"/>
      <w:textAlignment w:val="top"/>
    </w:pPr>
    <w:rPr>
      <w:rFonts w:ascii="Arial" w:eastAsia="Times New Roman" w:hAnsi="Arial" w:cs="Arial"/>
      <w:b/>
      <w:bCs/>
      <w:color w:val="000000"/>
      <w:sz w:val="18"/>
      <w:szCs w:val="18"/>
      <w:lang w:eastAsia="pt-BR"/>
    </w:rPr>
  </w:style>
  <w:style w:type="paragraph" w:customStyle="1" w:styleId="xl96">
    <w:name w:val="xl96"/>
    <w:basedOn w:val="Normal"/>
    <w:rsid w:val="00C10D89"/>
    <w:pPr>
      <w:pBdr>
        <w:top w:val="single" w:sz="4" w:space="0" w:color="000000"/>
        <w:left w:val="single" w:sz="4" w:space="0" w:color="000000"/>
        <w:bottom w:val="single" w:sz="4" w:space="0" w:color="auto"/>
        <w:right w:val="single" w:sz="4" w:space="0" w:color="000000"/>
      </w:pBdr>
      <w:shd w:val="clear" w:color="000000" w:fill="FFFFFF"/>
      <w:suppressAutoHyphens w:val="0"/>
      <w:spacing w:before="100" w:beforeAutospacing="1" w:after="100" w:afterAutospacing="1" w:line="240" w:lineRule="auto"/>
      <w:jc w:val="right"/>
      <w:textAlignment w:val="top"/>
    </w:pPr>
    <w:rPr>
      <w:rFonts w:ascii="SansSerif" w:eastAsia="Times New Roman" w:hAnsi="SansSerif" w:cs="Times New Roman"/>
      <w:b/>
      <w:bCs/>
      <w:color w:val="000000"/>
      <w:sz w:val="10"/>
      <w:szCs w:val="10"/>
      <w:lang w:eastAsia="pt-BR"/>
    </w:rPr>
  </w:style>
  <w:style w:type="paragraph" w:customStyle="1" w:styleId="xl97">
    <w:name w:val="xl97"/>
    <w:basedOn w:val="Normal"/>
    <w:rsid w:val="00C10D89"/>
    <w:pPr>
      <w:pBdr>
        <w:top w:val="single" w:sz="4" w:space="0" w:color="000000"/>
        <w:left w:val="single" w:sz="4" w:space="0" w:color="000000"/>
        <w:bottom w:val="single" w:sz="4" w:space="0" w:color="auto"/>
        <w:right w:val="single" w:sz="4" w:space="0" w:color="auto"/>
      </w:pBdr>
      <w:shd w:val="clear" w:color="000000" w:fill="FFFFFF"/>
      <w:suppressAutoHyphens w:val="0"/>
      <w:spacing w:before="100" w:beforeAutospacing="1" w:after="100" w:afterAutospacing="1" w:line="240" w:lineRule="auto"/>
      <w:jc w:val="right"/>
      <w:textAlignment w:val="top"/>
    </w:pPr>
    <w:rPr>
      <w:rFonts w:ascii="SansSerif" w:eastAsia="Times New Roman" w:hAnsi="SansSerif" w:cs="Times New Roman"/>
      <w:b/>
      <w:bCs/>
      <w:color w:val="000000"/>
      <w:sz w:val="10"/>
      <w:szCs w:val="10"/>
      <w:lang w:eastAsia="pt-BR"/>
    </w:rPr>
  </w:style>
  <w:style w:type="character" w:customStyle="1" w:styleId="ui-provider">
    <w:name w:val="ui-provider"/>
    <w:basedOn w:val="Fontepargpadro"/>
    <w:rsid w:val="00DC1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16590">
      <w:bodyDiv w:val="1"/>
      <w:marLeft w:val="0"/>
      <w:marRight w:val="0"/>
      <w:marTop w:val="0"/>
      <w:marBottom w:val="0"/>
      <w:divBdr>
        <w:top w:val="none" w:sz="0" w:space="0" w:color="auto"/>
        <w:left w:val="none" w:sz="0" w:space="0" w:color="auto"/>
        <w:bottom w:val="none" w:sz="0" w:space="0" w:color="auto"/>
        <w:right w:val="none" w:sz="0" w:space="0" w:color="auto"/>
      </w:divBdr>
    </w:div>
    <w:div w:id="118958281">
      <w:bodyDiv w:val="1"/>
      <w:marLeft w:val="0"/>
      <w:marRight w:val="0"/>
      <w:marTop w:val="0"/>
      <w:marBottom w:val="0"/>
      <w:divBdr>
        <w:top w:val="none" w:sz="0" w:space="0" w:color="auto"/>
        <w:left w:val="none" w:sz="0" w:space="0" w:color="auto"/>
        <w:bottom w:val="none" w:sz="0" w:space="0" w:color="auto"/>
        <w:right w:val="none" w:sz="0" w:space="0" w:color="auto"/>
      </w:divBdr>
    </w:div>
    <w:div w:id="158615249">
      <w:bodyDiv w:val="1"/>
      <w:marLeft w:val="0"/>
      <w:marRight w:val="0"/>
      <w:marTop w:val="0"/>
      <w:marBottom w:val="0"/>
      <w:divBdr>
        <w:top w:val="none" w:sz="0" w:space="0" w:color="auto"/>
        <w:left w:val="none" w:sz="0" w:space="0" w:color="auto"/>
        <w:bottom w:val="none" w:sz="0" w:space="0" w:color="auto"/>
        <w:right w:val="none" w:sz="0" w:space="0" w:color="auto"/>
      </w:divBdr>
    </w:div>
    <w:div w:id="719011427">
      <w:bodyDiv w:val="1"/>
      <w:marLeft w:val="0"/>
      <w:marRight w:val="0"/>
      <w:marTop w:val="0"/>
      <w:marBottom w:val="0"/>
      <w:divBdr>
        <w:top w:val="none" w:sz="0" w:space="0" w:color="auto"/>
        <w:left w:val="none" w:sz="0" w:space="0" w:color="auto"/>
        <w:bottom w:val="none" w:sz="0" w:space="0" w:color="auto"/>
        <w:right w:val="none" w:sz="0" w:space="0" w:color="auto"/>
      </w:divBdr>
    </w:div>
    <w:div w:id="726992958">
      <w:bodyDiv w:val="1"/>
      <w:marLeft w:val="0"/>
      <w:marRight w:val="0"/>
      <w:marTop w:val="0"/>
      <w:marBottom w:val="0"/>
      <w:divBdr>
        <w:top w:val="none" w:sz="0" w:space="0" w:color="auto"/>
        <w:left w:val="none" w:sz="0" w:space="0" w:color="auto"/>
        <w:bottom w:val="none" w:sz="0" w:space="0" w:color="auto"/>
        <w:right w:val="none" w:sz="0" w:space="0" w:color="auto"/>
      </w:divBdr>
    </w:div>
    <w:div w:id="892892424">
      <w:bodyDiv w:val="1"/>
      <w:marLeft w:val="0"/>
      <w:marRight w:val="0"/>
      <w:marTop w:val="0"/>
      <w:marBottom w:val="0"/>
      <w:divBdr>
        <w:top w:val="none" w:sz="0" w:space="0" w:color="auto"/>
        <w:left w:val="none" w:sz="0" w:space="0" w:color="auto"/>
        <w:bottom w:val="none" w:sz="0" w:space="0" w:color="auto"/>
        <w:right w:val="none" w:sz="0" w:space="0" w:color="auto"/>
      </w:divBdr>
    </w:div>
    <w:div w:id="1086536877">
      <w:bodyDiv w:val="1"/>
      <w:marLeft w:val="0"/>
      <w:marRight w:val="0"/>
      <w:marTop w:val="0"/>
      <w:marBottom w:val="0"/>
      <w:divBdr>
        <w:top w:val="none" w:sz="0" w:space="0" w:color="auto"/>
        <w:left w:val="none" w:sz="0" w:space="0" w:color="auto"/>
        <w:bottom w:val="none" w:sz="0" w:space="0" w:color="auto"/>
        <w:right w:val="none" w:sz="0" w:space="0" w:color="auto"/>
      </w:divBdr>
    </w:div>
    <w:div w:id="1237400339">
      <w:bodyDiv w:val="1"/>
      <w:marLeft w:val="0"/>
      <w:marRight w:val="0"/>
      <w:marTop w:val="0"/>
      <w:marBottom w:val="0"/>
      <w:divBdr>
        <w:top w:val="none" w:sz="0" w:space="0" w:color="auto"/>
        <w:left w:val="none" w:sz="0" w:space="0" w:color="auto"/>
        <w:bottom w:val="none" w:sz="0" w:space="0" w:color="auto"/>
        <w:right w:val="none" w:sz="0" w:space="0" w:color="auto"/>
      </w:divBdr>
    </w:div>
    <w:div w:id="1308824765">
      <w:bodyDiv w:val="1"/>
      <w:marLeft w:val="0"/>
      <w:marRight w:val="0"/>
      <w:marTop w:val="0"/>
      <w:marBottom w:val="0"/>
      <w:divBdr>
        <w:top w:val="none" w:sz="0" w:space="0" w:color="auto"/>
        <w:left w:val="none" w:sz="0" w:space="0" w:color="auto"/>
        <w:bottom w:val="none" w:sz="0" w:space="0" w:color="auto"/>
        <w:right w:val="none" w:sz="0" w:space="0" w:color="auto"/>
      </w:divBdr>
    </w:div>
    <w:div w:id="1332101970">
      <w:bodyDiv w:val="1"/>
      <w:marLeft w:val="0"/>
      <w:marRight w:val="0"/>
      <w:marTop w:val="0"/>
      <w:marBottom w:val="0"/>
      <w:divBdr>
        <w:top w:val="none" w:sz="0" w:space="0" w:color="auto"/>
        <w:left w:val="none" w:sz="0" w:space="0" w:color="auto"/>
        <w:bottom w:val="none" w:sz="0" w:space="0" w:color="auto"/>
        <w:right w:val="none" w:sz="0" w:space="0" w:color="auto"/>
      </w:divBdr>
    </w:div>
    <w:div w:id="1368989897">
      <w:bodyDiv w:val="1"/>
      <w:marLeft w:val="0"/>
      <w:marRight w:val="0"/>
      <w:marTop w:val="0"/>
      <w:marBottom w:val="0"/>
      <w:divBdr>
        <w:top w:val="none" w:sz="0" w:space="0" w:color="auto"/>
        <w:left w:val="none" w:sz="0" w:space="0" w:color="auto"/>
        <w:bottom w:val="none" w:sz="0" w:space="0" w:color="auto"/>
        <w:right w:val="none" w:sz="0" w:space="0" w:color="auto"/>
      </w:divBdr>
    </w:div>
    <w:div w:id="1406495671">
      <w:bodyDiv w:val="1"/>
      <w:marLeft w:val="0"/>
      <w:marRight w:val="0"/>
      <w:marTop w:val="0"/>
      <w:marBottom w:val="0"/>
      <w:divBdr>
        <w:top w:val="none" w:sz="0" w:space="0" w:color="auto"/>
        <w:left w:val="none" w:sz="0" w:space="0" w:color="auto"/>
        <w:bottom w:val="none" w:sz="0" w:space="0" w:color="auto"/>
        <w:right w:val="none" w:sz="0" w:space="0" w:color="auto"/>
      </w:divBdr>
    </w:div>
    <w:div w:id="1566800737">
      <w:bodyDiv w:val="1"/>
      <w:marLeft w:val="0"/>
      <w:marRight w:val="0"/>
      <w:marTop w:val="0"/>
      <w:marBottom w:val="0"/>
      <w:divBdr>
        <w:top w:val="none" w:sz="0" w:space="0" w:color="auto"/>
        <w:left w:val="none" w:sz="0" w:space="0" w:color="auto"/>
        <w:bottom w:val="none" w:sz="0" w:space="0" w:color="auto"/>
        <w:right w:val="none" w:sz="0" w:space="0" w:color="auto"/>
      </w:divBdr>
    </w:div>
    <w:div w:id="1589538589">
      <w:bodyDiv w:val="1"/>
      <w:marLeft w:val="0"/>
      <w:marRight w:val="0"/>
      <w:marTop w:val="0"/>
      <w:marBottom w:val="0"/>
      <w:divBdr>
        <w:top w:val="none" w:sz="0" w:space="0" w:color="auto"/>
        <w:left w:val="none" w:sz="0" w:space="0" w:color="auto"/>
        <w:bottom w:val="none" w:sz="0" w:space="0" w:color="auto"/>
        <w:right w:val="none" w:sz="0" w:space="0" w:color="auto"/>
      </w:divBdr>
    </w:div>
    <w:div w:id="1741513510">
      <w:bodyDiv w:val="1"/>
      <w:marLeft w:val="0"/>
      <w:marRight w:val="0"/>
      <w:marTop w:val="0"/>
      <w:marBottom w:val="0"/>
      <w:divBdr>
        <w:top w:val="none" w:sz="0" w:space="0" w:color="auto"/>
        <w:left w:val="none" w:sz="0" w:space="0" w:color="auto"/>
        <w:bottom w:val="none" w:sz="0" w:space="0" w:color="auto"/>
        <w:right w:val="none" w:sz="0" w:space="0" w:color="auto"/>
      </w:divBdr>
    </w:div>
    <w:div w:id="1753308956">
      <w:bodyDiv w:val="1"/>
      <w:marLeft w:val="0"/>
      <w:marRight w:val="0"/>
      <w:marTop w:val="0"/>
      <w:marBottom w:val="0"/>
      <w:divBdr>
        <w:top w:val="none" w:sz="0" w:space="0" w:color="auto"/>
        <w:left w:val="none" w:sz="0" w:space="0" w:color="auto"/>
        <w:bottom w:val="none" w:sz="0" w:space="0" w:color="auto"/>
        <w:right w:val="none" w:sz="0" w:space="0" w:color="auto"/>
      </w:divBdr>
    </w:div>
    <w:div w:id="1833334660">
      <w:bodyDiv w:val="1"/>
      <w:marLeft w:val="0"/>
      <w:marRight w:val="0"/>
      <w:marTop w:val="0"/>
      <w:marBottom w:val="0"/>
      <w:divBdr>
        <w:top w:val="none" w:sz="0" w:space="0" w:color="auto"/>
        <w:left w:val="none" w:sz="0" w:space="0" w:color="auto"/>
        <w:bottom w:val="none" w:sz="0" w:space="0" w:color="auto"/>
        <w:right w:val="none" w:sz="0" w:space="0" w:color="auto"/>
      </w:divBdr>
    </w:div>
    <w:div w:id="1881428678">
      <w:bodyDiv w:val="1"/>
      <w:marLeft w:val="0"/>
      <w:marRight w:val="0"/>
      <w:marTop w:val="0"/>
      <w:marBottom w:val="0"/>
      <w:divBdr>
        <w:top w:val="none" w:sz="0" w:space="0" w:color="auto"/>
        <w:left w:val="none" w:sz="0" w:space="0" w:color="auto"/>
        <w:bottom w:val="none" w:sz="0" w:space="0" w:color="auto"/>
        <w:right w:val="none" w:sz="0" w:space="0" w:color="auto"/>
      </w:divBdr>
    </w:div>
    <w:div w:id="1954051622">
      <w:bodyDiv w:val="1"/>
      <w:marLeft w:val="0"/>
      <w:marRight w:val="0"/>
      <w:marTop w:val="0"/>
      <w:marBottom w:val="0"/>
      <w:divBdr>
        <w:top w:val="none" w:sz="0" w:space="0" w:color="auto"/>
        <w:left w:val="none" w:sz="0" w:space="0" w:color="auto"/>
        <w:bottom w:val="none" w:sz="0" w:space="0" w:color="auto"/>
        <w:right w:val="none" w:sz="0" w:space="0" w:color="auto"/>
      </w:divBdr>
    </w:div>
    <w:div w:id="1959215613">
      <w:bodyDiv w:val="1"/>
      <w:marLeft w:val="0"/>
      <w:marRight w:val="0"/>
      <w:marTop w:val="0"/>
      <w:marBottom w:val="0"/>
      <w:divBdr>
        <w:top w:val="none" w:sz="0" w:space="0" w:color="auto"/>
        <w:left w:val="none" w:sz="0" w:space="0" w:color="auto"/>
        <w:bottom w:val="none" w:sz="0" w:space="0" w:color="auto"/>
        <w:right w:val="none" w:sz="0" w:space="0" w:color="auto"/>
      </w:divBdr>
    </w:div>
    <w:div w:id="2042707957">
      <w:bodyDiv w:val="1"/>
      <w:marLeft w:val="0"/>
      <w:marRight w:val="0"/>
      <w:marTop w:val="0"/>
      <w:marBottom w:val="0"/>
      <w:divBdr>
        <w:top w:val="none" w:sz="0" w:space="0" w:color="auto"/>
        <w:left w:val="none" w:sz="0" w:space="0" w:color="auto"/>
        <w:bottom w:val="none" w:sz="0" w:space="0" w:color="auto"/>
        <w:right w:val="none" w:sz="0" w:space="0" w:color="auto"/>
      </w:divBdr>
    </w:div>
    <w:div w:id="2044397242">
      <w:bodyDiv w:val="1"/>
      <w:marLeft w:val="0"/>
      <w:marRight w:val="0"/>
      <w:marTop w:val="0"/>
      <w:marBottom w:val="0"/>
      <w:divBdr>
        <w:top w:val="none" w:sz="0" w:space="0" w:color="auto"/>
        <w:left w:val="none" w:sz="0" w:space="0" w:color="auto"/>
        <w:bottom w:val="none" w:sz="0" w:space="0" w:color="auto"/>
        <w:right w:val="none" w:sz="0" w:space="0" w:color="auto"/>
      </w:divBdr>
    </w:div>
    <w:div w:id="2137598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05E804EAAD02947A573FCE482DE8528" ma:contentTypeVersion="4" ma:contentTypeDescription="Crie um novo documento." ma:contentTypeScope="" ma:versionID="ac2a9b58c596c7ef158830c18f56c9a8">
  <xsd:schema xmlns:xsd="http://www.w3.org/2001/XMLSchema" xmlns:xs="http://www.w3.org/2001/XMLSchema" xmlns:p="http://schemas.microsoft.com/office/2006/metadata/properties" xmlns:ns2="ffa7e1bc-8cdc-4434-97c7-db5def341160" xmlns:ns3="cdbe68b4-1f44-45ab-90ba-9f2df852dcc3" targetNamespace="http://schemas.microsoft.com/office/2006/metadata/properties" ma:root="true" ma:fieldsID="75739c46163f244ece89a89cdbfb5cfb" ns2:_="" ns3:_="">
    <xsd:import namespace="ffa7e1bc-8cdc-4434-97c7-db5def341160"/>
    <xsd:import namespace="cdbe68b4-1f44-45ab-90ba-9f2df852dc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7e1bc-8cdc-4434-97c7-db5def3411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be68b4-1f44-45ab-90ba-9f2df852dcc3"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949D16-8967-4678-9641-078AD43CD1F3}">
  <ds:schemaRefs>
    <ds:schemaRef ds:uri="http://schemas.microsoft.com/sharepoint/v3/contenttype/forms"/>
  </ds:schemaRefs>
</ds:datastoreItem>
</file>

<file path=customXml/itemProps2.xml><?xml version="1.0" encoding="utf-8"?>
<ds:datastoreItem xmlns:ds="http://schemas.openxmlformats.org/officeDocument/2006/customXml" ds:itemID="{73D44A24-2120-401E-AE46-6CBA4BF11573}">
  <ds:schemaRefs>
    <ds:schemaRef ds:uri="http://schemas.openxmlformats.org/officeDocument/2006/bibliography"/>
  </ds:schemaRefs>
</ds:datastoreItem>
</file>

<file path=customXml/itemProps3.xml><?xml version="1.0" encoding="utf-8"?>
<ds:datastoreItem xmlns:ds="http://schemas.openxmlformats.org/officeDocument/2006/customXml" ds:itemID="{6438D772-BBAC-46DE-BE12-E68A470EBB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6917DE-2EED-4FF9-B427-012AF0AB8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7e1bc-8cdc-4434-97c7-db5def341160"/>
    <ds:schemaRef ds:uri="cdbe68b4-1f44-45ab-90ba-9f2df852d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14</Pages>
  <Words>5290</Words>
  <Characters>28568</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Josiani Zanotelli</dc:creator>
  <dc:description/>
  <cp:lastModifiedBy>JOSIANI ZANOTELLI</cp:lastModifiedBy>
  <cp:revision>142</cp:revision>
  <dcterms:created xsi:type="dcterms:W3CDTF">2023-03-20T21:09:00Z</dcterms:created>
  <dcterms:modified xsi:type="dcterms:W3CDTF">2023-03-23T14:40:00Z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0x010100105E804EAAD02947A573FCE482DE8528</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